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41AABC" w14:textId="22697C1F" w:rsidR="53A15D72" w:rsidRPr="00B418B3" w:rsidRDefault="00FA2E4B" w:rsidP="00B418B3">
      <w:pPr>
        <w:spacing w:after="100" w:afterAutospacing="1"/>
        <w:rPr>
          <w:b/>
          <w:bCs/>
          <w:i/>
          <w:iCs/>
        </w:rPr>
      </w:pPr>
      <w:r w:rsidRPr="125C4205">
        <w:rPr>
          <w:b/>
          <w:bCs/>
        </w:rPr>
        <w:t xml:space="preserve">For each bullet point you </w:t>
      </w:r>
      <w:r w:rsidR="68C4D49A" w:rsidRPr="125C4205">
        <w:rPr>
          <w:b/>
          <w:bCs/>
        </w:rPr>
        <w:t>must</w:t>
      </w:r>
      <w:r w:rsidRPr="125C4205">
        <w:rPr>
          <w:b/>
          <w:bCs/>
        </w:rPr>
        <w:t xml:space="preserve"> be able to demonstrate</w:t>
      </w:r>
      <w:r w:rsidR="53A15D72" w:rsidRPr="125C4205">
        <w:rPr>
          <w:b/>
          <w:bCs/>
        </w:rPr>
        <w:t xml:space="preserve"> APPLY it using </w:t>
      </w:r>
      <w:r w:rsidR="53A15D72" w:rsidRPr="125C4205">
        <w:rPr>
          <w:rFonts w:ascii="Calibri" w:eastAsia="Calibri" w:hAnsi="Calibri" w:cs="Calibri"/>
          <w:b/>
          <w:bCs/>
          <w:color w:val="000000" w:themeColor="text1"/>
        </w:rPr>
        <w:t xml:space="preserve">concepts and theories to any given scenarios and research method designs. </w:t>
      </w:r>
      <w:r w:rsidR="53A15D72" w:rsidRPr="4B78788B">
        <w:rPr>
          <w:b/>
          <w:bCs/>
        </w:rPr>
        <w:t>Distinction will be made for each bullet point whether you need to describe or evaluate the content. Eval</w:t>
      </w:r>
      <w:r w:rsidR="12486D91" w:rsidRPr="4B78788B">
        <w:rPr>
          <w:b/>
          <w:bCs/>
        </w:rPr>
        <w:t xml:space="preserve">uation requires 3-4 fully developed strengths and weaknesses (PEELs). </w:t>
      </w:r>
      <w:r w:rsidR="594ACB56" w:rsidRPr="4B78788B">
        <w:rPr>
          <w:b/>
          <w:bCs/>
        </w:rPr>
        <w:t xml:space="preserve">When we ask you to </w:t>
      </w:r>
      <w:r w:rsidR="4FFCA46E" w:rsidRPr="4B78788B">
        <w:rPr>
          <w:b/>
          <w:bCs/>
        </w:rPr>
        <w:t>“</w:t>
      </w:r>
      <w:r w:rsidR="12486D91" w:rsidRPr="4B78788B">
        <w:rPr>
          <w:b/>
          <w:bCs/>
        </w:rPr>
        <w:t>Descri</w:t>
      </w:r>
      <w:r w:rsidR="04C87897" w:rsidRPr="4B78788B">
        <w:rPr>
          <w:b/>
          <w:bCs/>
        </w:rPr>
        <w:t>be”</w:t>
      </w:r>
      <w:r w:rsidR="12486D91" w:rsidRPr="4B78788B">
        <w:rPr>
          <w:b/>
          <w:bCs/>
        </w:rPr>
        <w:t xml:space="preserve"> </w:t>
      </w:r>
      <w:r w:rsidR="78FC636C" w:rsidRPr="4B78788B">
        <w:rPr>
          <w:b/>
          <w:bCs/>
        </w:rPr>
        <w:t xml:space="preserve">a </w:t>
      </w:r>
      <w:r w:rsidR="58B3D901" w:rsidRPr="4B78788B">
        <w:rPr>
          <w:b/>
          <w:bCs/>
        </w:rPr>
        <w:t>stud</w:t>
      </w:r>
      <w:r w:rsidR="34B9B6D4" w:rsidRPr="4B78788B">
        <w:rPr>
          <w:b/>
          <w:bCs/>
        </w:rPr>
        <w:t>y you will be</w:t>
      </w:r>
      <w:r w:rsidR="58B3D901" w:rsidRPr="4B78788B">
        <w:rPr>
          <w:b/>
          <w:bCs/>
        </w:rPr>
        <w:t xml:space="preserve"> required</w:t>
      </w:r>
      <w:r w:rsidR="72191EF8" w:rsidRPr="4B78788B">
        <w:rPr>
          <w:b/>
          <w:bCs/>
        </w:rPr>
        <w:t xml:space="preserve"> </w:t>
      </w:r>
      <w:r w:rsidR="58B3D901" w:rsidRPr="4B78788B">
        <w:rPr>
          <w:b/>
          <w:bCs/>
        </w:rPr>
        <w:t>to recall and understand without notes</w:t>
      </w:r>
      <w:r w:rsidR="1EABFCCD" w:rsidRPr="4B78788B">
        <w:rPr>
          <w:b/>
          <w:bCs/>
        </w:rPr>
        <w:t xml:space="preserve"> the</w:t>
      </w:r>
      <w:r w:rsidR="58B3D901" w:rsidRPr="4B78788B">
        <w:rPr>
          <w:b/>
          <w:bCs/>
        </w:rPr>
        <w:t xml:space="preserve"> </w:t>
      </w:r>
      <w:r w:rsidR="27750464" w:rsidRPr="4B78788B">
        <w:rPr>
          <w:b/>
          <w:bCs/>
        </w:rPr>
        <w:t>r</w:t>
      </w:r>
      <w:r w:rsidR="58B3D901" w:rsidRPr="4B78788B">
        <w:rPr>
          <w:b/>
          <w:bCs/>
        </w:rPr>
        <w:t>esearch aim, sample, method, procedure, results and conclusions</w:t>
      </w:r>
      <w:r w:rsidR="4FD7DD29" w:rsidRPr="4B78788B">
        <w:rPr>
          <w:b/>
          <w:bCs/>
        </w:rPr>
        <w:t>.</w:t>
      </w:r>
      <w:r w:rsidR="6648F43A" w:rsidRPr="4B78788B">
        <w:rPr>
          <w:b/>
          <w:bCs/>
        </w:rPr>
        <w:t xml:space="preserve"> “Outline” of studies requires you to recall and understand without notes the procedure and results of a study</w:t>
      </w:r>
      <w:r w:rsidR="2005E29B" w:rsidRPr="4B78788B">
        <w:rPr>
          <w:b/>
          <w:bCs/>
        </w:rPr>
        <w:t>.</w:t>
      </w:r>
      <w:r w:rsidR="1B5D44FD" w:rsidRPr="4B78788B">
        <w:rPr>
          <w:b/>
          <w:bCs/>
        </w:rPr>
        <w:t xml:space="preserve"> Where a research name is in bold, this is a named research which you must know very well. You need to recognise it by name as you could be asked a specific question within the exam.</w:t>
      </w:r>
      <w:r w:rsidR="2005E29B" w:rsidRPr="4B78788B">
        <w:rPr>
          <w:b/>
          <w:bCs/>
        </w:rPr>
        <w:t xml:space="preserve"> </w:t>
      </w:r>
      <w:r w:rsidR="761E98C8" w:rsidRPr="4B78788B">
        <w:rPr>
          <w:b/>
          <w:bCs/>
        </w:rPr>
        <w:t xml:space="preserve">When we ask you to “describe” a theory, you need to </w:t>
      </w:r>
      <w:r w:rsidR="795E97BB" w:rsidRPr="4B78788B">
        <w:rPr>
          <w:b/>
          <w:bCs/>
        </w:rPr>
        <w:t>be able to explain</w:t>
      </w:r>
      <w:r w:rsidR="761E98C8" w:rsidRPr="4B78788B">
        <w:rPr>
          <w:b/>
          <w:bCs/>
        </w:rPr>
        <w:t xml:space="preserve"> </w:t>
      </w:r>
      <w:r w:rsidR="5FE44E3B" w:rsidRPr="4B78788B">
        <w:rPr>
          <w:b/>
          <w:bCs/>
        </w:rPr>
        <w:t>the main key terms within the theory</w:t>
      </w:r>
      <w:r w:rsidR="4D74F3B2" w:rsidRPr="4B78788B">
        <w:rPr>
          <w:b/>
          <w:bCs/>
        </w:rPr>
        <w:t xml:space="preserve">, in relation to the topic area. </w:t>
      </w:r>
      <w:r w:rsidR="58F6D91C" w:rsidRPr="4B78788B">
        <w:rPr>
          <w:b/>
          <w:bCs/>
        </w:rPr>
        <w:t>(</w:t>
      </w:r>
      <w:r w:rsidR="4D74F3B2" w:rsidRPr="4B78788B">
        <w:rPr>
          <w:b/>
          <w:bCs/>
        </w:rPr>
        <w:t>For example, The Multi Store Model of Memory include the following: Sensory register, STM &amp; L</w:t>
      </w:r>
      <w:r w:rsidR="0F78922C" w:rsidRPr="4B78788B">
        <w:rPr>
          <w:b/>
          <w:bCs/>
        </w:rPr>
        <w:t>TM. Coding, capacity and duration of each of these features)</w:t>
      </w:r>
      <w:r w:rsidR="72F42A4A" w:rsidRPr="4B78788B">
        <w:rPr>
          <w:b/>
          <w:bCs/>
        </w:rPr>
        <w:t xml:space="preserve">. When we ask you to “Outline” key terms- you need to know what they mean and be able to define them. </w:t>
      </w:r>
    </w:p>
    <w:p w14:paraId="6C7C947B" w14:textId="77777777" w:rsidR="007C0D99" w:rsidRDefault="007C0D99" w:rsidP="00B418B3">
      <w:pPr>
        <w:spacing w:afterAutospacing="1"/>
        <w:rPr>
          <w:b/>
          <w:bCs/>
        </w:rPr>
        <w:sectPr w:rsidR="007C0D99" w:rsidSect="007C0D99">
          <w:headerReference w:type="default" r:id="rId10"/>
          <w:footerReference w:type="default" r:id="rId11"/>
          <w:pgSz w:w="16838" w:h="11906" w:orient="landscape"/>
          <w:pgMar w:top="1745" w:right="1440" w:bottom="1440" w:left="1440" w:header="708" w:footer="708" w:gutter="0"/>
          <w:cols w:space="708"/>
          <w:docGrid w:linePitch="360"/>
        </w:sectPr>
      </w:pPr>
    </w:p>
    <w:p w14:paraId="2EB86119" w14:textId="460756C2" w:rsidR="125C4205" w:rsidRPr="007C0D99" w:rsidRDefault="01EDB357" w:rsidP="00B418B3">
      <w:pPr>
        <w:spacing w:after="0"/>
        <w:rPr>
          <w:b/>
          <w:bCs/>
        </w:rPr>
      </w:pPr>
      <w:r w:rsidRPr="125C4205">
        <w:rPr>
          <w:b/>
          <w:bCs/>
        </w:rPr>
        <w:t>Social Influence:</w:t>
      </w:r>
    </w:p>
    <w:p w14:paraId="30704D5D" w14:textId="013BB35B" w:rsidR="00692B5E" w:rsidRDefault="759A2349" w:rsidP="00B418B3">
      <w:pPr>
        <w:pStyle w:val="ListParagraph"/>
        <w:numPr>
          <w:ilvl w:val="0"/>
          <w:numId w:val="2"/>
        </w:numPr>
        <w:spacing w:after="0"/>
        <w:contextualSpacing w:val="0"/>
      </w:pPr>
      <w:r>
        <w:t>Describe t</w:t>
      </w:r>
      <w:r w:rsidR="001A459A">
        <w:t xml:space="preserve">ypes of conformity: Internalisation, identification and compliance </w:t>
      </w:r>
    </w:p>
    <w:p w14:paraId="5CC6519C" w14:textId="0B7FC437" w:rsidR="00692B5E" w:rsidRDefault="7C1BD4C5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  <w:rPr>
          <w:rFonts w:eastAsiaTheme="minorEastAsia"/>
        </w:rPr>
      </w:pPr>
      <w:r>
        <w:t>Describe and Evaluate</w:t>
      </w:r>
      <w:r w:rsidR="59976C46">
        <w:t xml:space="preserve"> </w:t>
      </w:r>
      <w:r w:rsidR="001A459A">
        <w:t xml:space="preserve">Informational and Normative Social Influence </w:t>
      </w:r>
    </w:p>
    <w:p w14:paraId="022314D5" w14:textId="72A0D8F6" w:rsidR="2D0A7351" w:rsidRDefault="2D0A7351" w:rsidP="00B418B3">
      <w:pPr>
        <w:pStyle w:val="ListParagraph"/>
        <w:numPr>
          <w:ilvl w:val="0"/>
          <w:numId w:val="2"/>
        </w:numPr>
        <w:spacing w:afterAutospacing="1"/>
      </w:pPr>
      <w:r>
        <w:t>Outline McGhee &amp; Teevan (1967) to critique ISI &amp; NSI</w:t>
      </w:r>
    </w:p>
    <w:p w14:paraId="5D9123B3" w14:textId="3BEE6E44" w:rsidR="00692B5E" w:rsidRDefault="4C8ABEC1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  <w:rPr>
          <w:rFonts w:eastAsiaTheme="minorEastAsia"/>
        </w:rPr>
      </w:pPr>
      <w:r>
        <w:t xml:space="preserve">Describe and Evaluate </w:t>
      </w:r>
      <w:r w:rsidR="001A459A" w:rsidRPr="4B78788B">
        <w:rPr>
          <w:b/>
          <w:bCs/>
        </w:rPr>
        <w:t>Asch (1951/55)</w:t>
      </w:r>
      <w:r w:rsidR="1FA81673" w:rsidRPr="4B78788B">
        <w:rPr>
          <w:b/>
          <w:bCs/>
        </w:rPr>
        <w:t xml:space="preserve"> </w:t>
      </w:r>
      <w:r w:rsidR="1FA81673">
        <w:t>Study into</w:t>
      </w:r>
      <w:r w:rsidR="001A459A">
        <w:t xml:space="preserve"> conformity</w:t>
      </w:r>
      <w:r w:rsidR="18DCFE7F">
        <w:t xml:space="preserve"> and the variables affecting it </w:t>
      </w:r>
      <w:r w:rsidR="001A459A">
        <w:t xml:space="preserve"> </w:t>
      </w:r>
    </w:p>
    <w:p w14:paraId="6C44BDC9" w14:textId="4E13684D" w:rsidR="001E5C1B" w:rsidRDefault="2876B168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  <w:rPr>
          <w:rFonts w:eastAsiaTheme="minorEastAsia"/>
        </w:rPr>
      </w:pPr>
      <w:r>
        <w:t xml:space="preserve">Describe </w:t>
      </w:r>
      <w:r w:rsidR="094034F7">
        <w:t>the v</w:t>
      </w:r>
      <w:r w:rsidR="001A459A">
        <w:t>ariable</w:t>
      </w:r>
      <w:r w:rsidR="6A58565A">
        <w:t>s</w:t>
      </w:r>
      <w:r w:rsidR="001A459A">
        <w:t xml:space="preserve"> affecting conformity: Group size, unanimity &amp; task difficulty</w:t>
      </w:r>
    </w:p>
    <w:p w14:paraId="5994AF85" w14:textId="338E44B8" w:rsidR="001A459A" w:rsidRDefault="199B5D33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  <w:rPr>
          <w:rFonts w:eastAsiaTheme="minorEastAsia"/>
        </w:rPr>
      </w:pPr>
      <w:r>
        <w:t>Describe and Evaluate</w:t>
      </w:r>
      <w:r w:rsidRPr="4B78788B">
        <w:rPr>
          <w:b/>
          <w:bCs/>
        </w:rPr>
        <w:t xml:space="preserve"> </w:t>
      </w:r>
      <w:r w:rsidR="001A459A" w:rsidRPr="4B78788B">
        <w:rPr>
          <w:b/>
          <w:bCs/>
        </w:rPr>
        <w:t>Zimbardo</w:t>
      </w:r>
      <w:r w:rsidR="001A459A">
        <w:t xml:space="preserve"> (1973) </w:t>
      </w:r>
      <w:r w:rsidR="740F1243">
        <w:t>to support Conformity to Social Roles</w:t>
      </w:r>
    </w:p>
    <w:p w14:paraId="4FC82C38" w14:textId="1CD42551" w:rsidR="001A459A" w:rsidRDefault="740F1243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  <w:rPr>
          <w:rFonts w:eastAsiaTheme="minorEastAsia"/>
        </w:rPr>
      </w:pPr>
      <w:r>
        <w:t xml:space="preserve">Describe and Evaluate </w:t>
      </w:r>
      <w:r w:rsidR="001A459A">
        <w:t xml:space="preserve">Conformity to Social Roles </w:t>
      </w:r>
    </w:p>
    <w:p w14:paraId="157D3081" w14:textId="22FCAF76" w:rsidR="001A459A" w:rsidRDefault="7FBDACB0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</w:pPr>
      <w:r>
        <w:t xml:space="preserve">Outline </w:t>
      </w:r>
      <w:r w:rsidR="001A459A">
        <w:t xml:space="preserve">Obedience </w:t>
      </w:r>
      <w:r w:rsidR="1F4B4639">
        <w:t xml:space="preserve">&amp; </w:t>
      </w:r>
      <w:r w:rsidR="001A459A">
        <w:t xml:space="preserve">Conformity (the differences between them) </w:t>
      </w:r>
    </w:p>
    <w:p w14:paraId="548AF96B" w14:textId="3889DFA7" w:rsidR="2B6F9853" w:rsidRDefault="2B6F9853" w:rsidP="00B418B3">
      <w:pPr>
        <w:pStyle w:val="ListParagraph"/>
        <w:numPr>
          <w:ilvl w:val="0"/>
          <w:numId w:val="2"/>
        </w:numPr>
        <w:spacing w:afterAutospacing="1"/>
        <w:rPr>
          <w:rFonts w:eastAsiaTheme="minorEastAsia"/>
        </w:rPr>
      </w:pPr>
      <w:r>
        <w:t>Describe and Evaluate</w:t>
      </w:r>
      <w:r w:rsidRPr="4B78788B">
        <w:rPr>
          <w:b/>
          <w:bCs/>
        </w:rPr>
        <w:t xml:space="preserve"> Milgram’s (1963)</w:t>
      </w:r>
      <w:r>
        <w:t xml:space="preserve"> research into obedienc</w:t>
      </w:r>
      <w:r w:rsidR="0D7A4EFB">
        <w:t>e, including his variations</w:t>
      </w:r>
    </w:p>
    <w:p w14:paraId="2DBB5AA0" w14:textId="21AA706D" w:rsidR="001A459A" w:rsidRDefault="771AE9E1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  <w:rPr>
          <w:rFonts w:eastAsiaTheme="minorEastAsia"/>
        </w:rPr>
      </w:pPr>
      <w:r>
        <w:t xml:space="preserve">Outline the difference between Dispositional and Situational explanations </w:t>
      </w:r>
    </w:p>
    <w:p w14:paraId="3517797B" w14:textId="52871065" w:rsidR="001A459A" w:rsidRDefault="53AFC5CB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</w:pPr>
      <w:r>
        <w:t xml:space="preserve">Describe and Evaluate </w:t>
      </w:r>
      <w:r w:rsidR="001A459A">
        <w:t xml:space="preserve">Agentic State </w:t>
      </w:r>
    </w:p>
    <w:p w14:paraId="21E34E1F" w14:textId="7615CB64" w:rsidR="001A459A" w:rsidRDefault="42088A8F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  <w:rPr>
          <w:rFonts w:eastAsiaTheme="minorEastAsia"/>
        </w:rPr>
      </w:pPr>
      <w:r>
        <w:t xml:space="preserve">Describe and Evaluate </w:t>
      </w:r>
      <w:r w:rsidR="001A459A">
        <w:t xml:space="preserve">Legitimacy of Authority </w:t>
      </w:r>
    </w:p>
    <w:p w14:paraId="52006665" w14:textId="2DA19506" w:rsidR="38C6B9EB" w:rsidRDefault="38C6B9EB" w:rsidP="00B418B3">
      <w:pPr>
        <w:pStyle w:val="ListParagraph"/>
        <w:numPr>
          <w:ilvl w:val="0"/>
          <w:numId w:val="2"/>
        </w:numPr>
        <w:spacing w:afterAutospacing="1"/>
      </w:pPr>
      <w:r>
        <w:t xml:space="preserve">Outline Hofling (1966) to </w:t>
      </w:r>
      <w:r w:rsidR="497F37BD">
        <w:t>support Milgram/ Legitimacy of Authority and Agentic State</w:t>
      </w:r>
    </w:p>
    <w:p w14:paraId="3EEC2C78" w14:textId="035C8790" w:rsidR="497F37BD" w:rsidRDefault="497F37BD" w:rsidP="00B418B3">
      <w:pPr>
        <w:pStyle w:val="ListParagraph"/>
        <w:numPr>
          <w:ilvl w:val="0"/>
          <w:numId w:val="2"/>
        </w:numPr>
        <w:spacing w:afterAutospacing="1"/>
      </w:pPr>
      <w:r>
        <w:t>Outline Rank and Jacobson (1977) to critique Milgram, Legitimacy of Authority and Agentic State</w:t>
      </w:r>
    </w:p>
    <w:p w14:paraId="190E44E7" w14:textId="27CDB302" w:rsidR="71E98117" w:rsidRDefault="71E98117" w:rsidP="00B418B3">
      <w:pPr>
        <w:pStyle w:val="ListParagraph"/>
        <w:numPr>
          <w:ilvl w:val="0"/>
          <w:numId w:val="2"/>
        </w:numPr>
        <w:spacing w:afterAutospacing="1"/>
      </w:pPr>
      <w:r>
        <w:t xml:space="preserve">Outline the Massacre at My Lai to support Situational Explanations of Obedience </w:t>
      </w:r>
    </w:p>
    <w:p w14:paraId="11B0AFAB" w14:textId="041D7B79" w:rsidR="71E98117" w:rsidRDefault="71E98117" w:rsidP="00B418B3">
      <w:pPr>
        <w:pStyle w:val="ListParagraph"/>
        <w:numPr>
          <w:ilvl w:val="0"/>
          <w:numId w:val="2"/>
        </w:numPr>
        <w:spacing w:afterAutospacing="1"/>
      </w:pPr>
      <w:r>
        <w:t>O</w:t>
      </w:r>
      <w:r w:rsidR="086DBADE">
        <w:t>utline how the Holocaust can be used to support situational explanations of obedience</w:t>
      </w:r>
    </w:p>
    <w:p w14:paraId="4D8997AD" w14:textId="1D2E2449" w:rsidR="4825958F" w:rsidRDefault="4825958F" w:rsidP="00B418B3">
      <w:pPr>
        <w:pStyle w:val="ListParagraph"/>
        <w:numPr>
          <w:ilvl w:val="0"/>
          <w:numId w:val="2"/>
        </w:numPr>
        <w:spacing w:afterAutospacing="1"/>
        <w:rPr>
          <w:rFonts w:eastAsiaTheme="minorEastAsia"/>
        </w:rPr>
      </w:pPr>
      <w:r>
        <w:t xml:space="preserve">Describe and Evaluate </w:t>
      </w:r>
      <w:r w:rsidR="001A459A">
        <w:t xml:space="preserve">Authoritarian Personality </w:t>
      </w:r>
    </w:p>
    <w:p w14:paraId="30CA066D" w14:textId="022CB25F" w:rsidR="154D6400" w:rsidRDefault="154D6400" w:rsidP="00B418B3">
      <w:pPr>
        <w:pStyle w:val="ListParagraph"/>
        <w:numPr>
          <w:ilvl w:val="0"/>
          <w:numId w:val="2"/>
        </w:numPr>
        <w:spacing w:afterAutospacing="1"/>
      </w:pPr>
      <w:r>
        <w:t xml:space="preserve">Outline Milgram and Elms (1966) to support Authoritarian Personality </w:t>
      </w:r>
    </w:p>
    <w:p w14:paraId="33D2900C" w14:textId="621DCCC6" w:rsidR="001A459A" w:rsidRDefault="2C3AD628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  <w:rPr>
          <w:rFonts w:eastAsiaTheme="minorEastAsia"/>
        </w:rPr>
      </w:pPr>
      <w:r>
        <w:t xml:space="preserve">Describe and Evaluate </w:t>
      </w:r>
      <w:r w:rsidR="001A459A">
        <w:t xml:space="preserve">Social Support </w:t>
      </w:r>
    </w:p>
    <w:p w14:paraId="324EF4AF" w14:textId="50368B14" w:rsidR="001A459A" w:rsidRDefault="065DB5A7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  <w:rPr>
          <w:rFonts w:eastAsiaTheme="minorEastAsia"/>
        </w:rPr>
      </w:pPr>
      <w:r>
        <w:t xml:space="preserve">Describe and Evaluate </w:t>
      </w:r>
      <w:r w:rsidR="001A459A">
        <w:t xml:space="preserve">Locus of Control </w:t>
      </w:r>
    </w:p>
    <w:p w14:paraId="3A800BBF" w14:textId="3DAE6477" w:rsidR="74D8FFD5" w:rsidRDefault="74D8FFD5" w:rsidP="00B418B3">
      <w:pPr>
        <w:pStyle w:val="ListParagraph"/>
        <w:numPr>
          <w:ilvl w:val="0"/>
          <w:numId w:val="2"/>
        </w:numPr>
        <w:spacing w:afterAutospacing="1"/>
      </w:pPr>
      <w:r>
        <w:t xml:space="preserve">Outline Oliner and Oliner (1998) to support LOC </w:t>
      </w:r>
    </w:p>
    <w:p w14:paraId="0334C42A" w14:textId="61DA0789" w:rsidR="001A459A" w:rsidRDefault="3D43EE0F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  <w:rPr>
          <w:rFonts w:eastAsiaTheme="minorEastAsia"/>
        </w:rPr>
      </w:pPr>
      <w:r>
        <w:t xml:space="preserve">Describe and Evaluate </w:t>
      </w:r>
      <w:r w:rsidR="001A459A">
        <w:t xml:space="preserve">Minority influence: Consistency, Commitment and Flexibility </w:t>
      </w:r>
    </w:p>
    <w:p w14:paraId="627AEE95" w14:textId="797692A0" w:rsidR="0FC63CA1" w:rsidRDefault="0FC63CA1" w:rsidP="00B418B3">
      <w:pPr>
        <w:pStyle w:val="ListParagraph"/>
        <w:numPr>
          <w:ilvl w:val="0"/>
          <w:numId w:val="2"/>
        </w:numPr>
        <w:spacing w:afterAutospacing="1"/>
        <w:rPr>
          <w:rFonts w:eastAsiaTheme="minorEastAsia"/>
        </w:rPr>
      </w:pPr>
      <w:r w:rsidRPr="4B78788B">
        <w:lastRenderedPageBreak/>
        <w:t xml:space="preserve">Outline Hogg &amp; Vaughan (1995) to critique Minority influence </w:t>
      </w:r>
    </w:p>
    <w:p w14:paraId="2079C377" w14:textId="09E8A2ED" w:rsidR="792981D8" w:rsidRDefault="792981D8" w:rsidP="00B418B3">
      <w:pPr>
        <w:pStyle w:val="ListParagraph"/>
        <w:numPr>
          <w:ilvl w:val="0"/>
          <w:numId w:val="2"/>
        </w:numPr>
        <w:spacing w:afterAutospacing="1"/>
        <w:rPr>
          <w:rFonts w:eastAsiaTheme="minorEastAsia"/>
          <w:color w:val="444340"/>
        </w:rPr>
      </w:pPr>
      <w:r w:rsidRPr="4B78788B">
        <w:t>Outline Maass and Clark (1984) to critique Minority influence</w:t>
      </w:r>
    </w:p>
    <w:p w14:paraId="3A0468F1" w14:textId="48CAE2CA" w:rsidR="6566F224" w:rsidRDefault="6566F224" w:rsidP="00B418B3">
      <w:pPr>
        <w:pStyle w:val="ListParagraph"/>
        <w:numPr>
          <w:ilvl w:val="0"/>
          <w:numId w:val="2"/>
        </w:numPr>
        <w:spacing w:afterAutospacing="1"/>
        <w:rPr>
          <w:rFonts w:eastAsiaTheme="minorEastAsia"/>
        </w:rPr>
      </w:pPr>
      <w:r>
        <w:t xml:space="preserve">Describe and Evaluate </w:t>
      </w:r>
      <w:r w:rsidR="001A459A">
        <w:t xml:space="preserve">Moscovici (1969) </w:t>
      </w:r>
      <w:r w:rsidR="0F5DC40B">
        <w:t>(Use to support minority influence too)</w:t>
      </w:r>
    </w:p>
    <w:p w14:paraId="2430D429" w14:textId="6FA8199D" w:rsidR="001A459A" w:rsidRDefault="4A8F155B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</w:pPr>
      <w:r>
        <w:t>Describe ho</w:t>
      </w:r>
      <w:r w:rsidR="001A459A">
        <w:t xml:space="preserve">w NSI/ SIS/ Obedience and Minority influence contribute towards Social Change </w:t>
      </w:r>
    </w:p>
    <w:p w14:paraId="26A19936" w14:textId="52F021D7" w:rsidR="001A459A" w:rsidRDefault="291ECCB1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</w:pPr>
      <w:r>
        <w:t xml:space="preserve">Describe </w:t>
      </w:r>
      <w:r w:rsidR="001A459A">
        <w:t>a historical example of Social Change and how Social Influence processes (</w:t>
      </w:r>
      <w:r w:rsidR="001A459A" w:rsidRPr="4B78788B">
        <w:rPr>
          <w:i/>
          <w:iCs/>
        </w:rPr>
        <w:t>above</w:t>
      </w:r>
      <w:r w:rsidR="001A459A">
        <w:t xml:space="preserve">) have contributed towards this change </w:t>
      </w:r>
    </w:p>
    <w:p w14:paraId="27AAC38E" w14:textId="0721D6E0" w:rsidR="001A459A" w:rsidRDefault="39918939" w:rsidP="00B418B3">
      <w:pPr>
        <w:pStyle w:val="ListParagraph"/>
        <w:numPr>
          <w:ilvl w:val="0"/>
          <w:numId w:val="2"/>
        </w:numPr>
        <w:spacing w:after="100" w:afterAutospacing="1"/>
        <w:contextualSpacing w:val="0"/>
      </w:pPr>
      <w:r>
        <w:t>Outline t</w:t>
      </w:r>
      <w:r w:rsidR="001A459A">
        <w:t>erms</w:t>
      </w:r>
      <w:r w:rsidR="0D4D3AD4">
        <w:t>:</w:t>
      </w:r>
      <w:r w:rsidR="001A459A">
        <w:t xml:space="preserve"> Social Cryptomnesia &amp; Snowball effect</w:t>
      </w:r>
    </w:p>
    <w:p w14:paraId="0FCD91C5" w14:textId="22982FCA" w:rsidR="00FA2E4B" w:rsidRDefault="00FA2E4B" w:rsidP="00B418B3">
      <w:pPr>
        <w:spacing w:after="0"/>
        <w:rPr>
          <w:b/>
          <w:bCs/>
        </w:rPr>
      </w:pPr>
      <w:r w:rsidRPr="3732FC5A">
        <w:rPr>
          <w:b/>
          <w:bCs/>
        </w:rPr>
        <w:t>Memory:</w:t>
      </w:r>
    </w:p>
    <w:p w14:paraId="51D06DCB" w14:textId="4430E8EE" w:rsidR="00C85FD5" w:rsidRDefault="04C5B0B1" w:rsidP="00B418B3">
      <w:pPr>
        <w:pStyle w:val="ListParagraph"/>
        <w:numPr>
          <w:ilvl w:val="0"/>
          <w:numId w:val="3"/>
        </w:numPr>
        <w:spacing w:after="0"/>
      </w:pPr>
      <w:r>
        <w:t>Describe the f</w:t>
      </w:r>
      <w:r w:rsidR="00C85FD5">
        <w:t>eatures of each memory store: coding, capacity and duration.</w:t>
      </w:r>
    </w:p>
    <w:p w14:paraId="7B590BA2" w14:textId="06951DF0" w:rsidR="006A4090" w:rsidRDefault="74FC1B87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>Outline</w:t>
      </w:r>
      <w:r w:rsidR="142A3F09" w:rsidRPr="3732FC5A">
        <w:rPr>
          <w:rFonts w:ascii="Calibri" w:eastAsia="Calibri" w:hAnsi="Calibri" w:cs="Calibri"/>
          <w:color w:val="000000" w:themeColor="text1"/>
        </w:rPr>
        <w:t xml:space="preserve"> and Evaluate</w:t>
      </w:r>
      <w:r>
        <w:t xml:space="preserve"> </w:t>
      </w:r>
      <w:r w:rsidR="00EE5451">
        <w:t xml:space="preserve">Baddeley (1966) Coding </w:t>
      </w:r>
    </w:p>
    <w:p w14:paraId="651D3BFE" w14:textId="6CD9BFA1" w:rsidR="006A4090" w:rsidRDefault="36D0D1EC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>Outline</w:t>
      </w:r>
      <w:r w:rsidR="1E5FACB6" w:rsidRPr="3732FC5A">
        <w:rPr>
          <w:rFonts w:ascii="Calibri" w:eastAsia="Calibri" w:hAnsi="Calibri" w:cs="Calibri"/>
          <w:color w:val="000000" w:themeColor="text1"/>
        </w:rPr>
        <w:t xml:space="preserve"> and Evaluate</w:t>
      </w:r>
      <w:r>
        <w:t xml:space="preserve"> </w:t>
      </w:r>
      <w:r w:rsidR="006A4090">
        <w:t>Jaco</w:t>
      </w:r>
      <w:r w:rsidR="00EE5451">
        <w:t xml:space="preserve">bs (1887) Capacity/Digit span </w:t>
      </w:r>
    </w:p>
    <w:p w14:paraId="613DFE7E" w14:textId="07BD1690" w:rsidR="00EE5451" w:rsidRDefault="570396E4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122EA9D6" w:rsidRPr="3732FC5A">
        <w:rPr>
          <w:rFonts w:ascii="Calibri" w:eastAsia="Calibri" w:hAnsi="Calibri" w:cs="Calibri"/>
          <w:color w:val="000000" w:themeColor="text1"/>
        </w:rPr>
        <w:t>and Evaluate</w:t>
      </w:r>
      <w:r w:rsidR="122EA9D6">
        <w:t xml:space="preserve"> </w:t>
      </w:r>
      <w:r w:rsidR="00EE5451">
        <w:t xml:space="preserve">Miller (1956) Capacity &amp; Chunking </w:t>
      </w:r>
    </w:p>
    <w:p w14:paraId="57F931BF" w14:textId="65ADE4D3" w:rsidR="00EE5451" w:rsidRDefault="3762E655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4A0B9100" w:rsidRPr="3732FC5A">
        <w:rPr>
          <w:rFonts w:ascii="Calibri" w:eastAsia="Calibri" w:hAnsi="Calibri" w:cs="Calibri"/>
          <w:color w:val="000000" w:themeColor="text1"/>
        </w:rPr>
        <w:t>and Evaluate</w:t>
      </w:r>
      <w:r w:rsidR="4A0B9100">
        <w:t xml:space="preserve"> </w:t>
      </w:r>
      <w:r w:rsidR="00EE5451">
        <w:t xml:space="preserve">Peterson &amp; Peterson (1959) Duration of STM </w:t>
      </w:r>
    </w:p>
    <w:p w14:paraId="5E5A842A" w14:textId="119436C2" w:rsidR="00EE5451" w:rsidRDefault="2DD6DF50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2DF9E6CB" w:rsidRPr="3732FC5A">
        <w:rPr>
          <w:rFonts w:ascii="Calibri" w:eastAsia="Calibri" w:hAnsi="Calibri" w:cs="Calibri"/>
          <w:color w:val="000000" w:themeColor="text1"/>
        </w:rPr>
        <w:t>and Evaluate</w:t>
      </w:r>
      <w:r w:rsidR="2DF9E6CB">
        <w:t xml:space="preserve"> </w:t>
      </w:r>
      <w:r w:rsidR="00EE5451">
        <w:t xml:space="preserve">Bahrick et al (1975) Duration of LTM </w:t>
      </w:r>
    </w:p>
    <w:p w14:paraId="0CFDDD63" w14:textId="13C68587" w:rsidR="00C85FD5" w:rsidRDefault="4870B777" w:rsidP="00B418B3">
      <w:pPr>
        <w:pStyle w:val="ListParagraph"/>
        <w:numPr>
          <w:ilvl w:val="0"/>
          <w:numId w:val="3"/>
        </w:numPr>
        <w:spacing w:after="100" w:afterAutospacing="1"/>
      </w:pPr>
      <w:r>
        <w:t xml:space="preserve">Describe and Evaluate </w:t>
      </w:r>
      <w:r w:rsidR="00C85FD5" w:rsidRPr="3732FC5A">
        <w:rPr>
          <w:b/>
          <w:bCs/>
        </w:rPr>
        <w:t>Atkinson &amp; Shiffrin (1968)</w:t>
      </w:r>
      <w:r w:rsidR="00C85FD5">
        <w:t xml:space="preserve"> Multi-store model of memory (MSM): sensory register, short-</w:t>
      </w:r>
      <w:r w:rsidR="000D0105">
        <w:t>term memory and long-term memory</w:t>
      </w:r>
      <w:r w:rsidR="00C85FD5">
        <w:t xml:space="preserve"> </w:t>
      </w:r>
    </w:p>
    <w:p w14:paraId="0222DE6F" w14:textId="33850326" w:rsidR="00C85FD5" w:rsidRDefault="3DBCA64C" w:rsidP="00B418B3">
      <w:pPr>
        <w:pStyle w:val="ListParagraph"/>
        <w:numPr>
          <w:ilvl w:val="0"/>
          <w:numId w:val="3"/>
        </w:numPr>
        <w:spacing w:after="100" w:afterAutospacing="1"/>
      </w:pPr>
      <w:r>
        <w:t>Describe t</w:t>
      </w:r>
      <w:r w:rsidR="00C85FD5">
        <w:t xml:space="preserve">he coding, capacity and duration of each store within </w:t>
      </w:r>
      <w:r w:rsidR="000D0105">
        <w:t>the Multi-store model of memory</w:t>
      </w:r>
    </w:p>
    <w:p w14:paraId="3CF48E24" w14:textId="0E0926D7" w:rsidR="00C85FD5" w:rsidRDefault="5A92F4C9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7C8D6C41" w:rsidRPr="3732FC5A">
        <w:rPr>
          <w:rFonts w:ascii="Calibri" w:eastAsia="Calibri" w:hAnsi="Calibri" w:cs="Calibri"/>
          <w:color w:val="000000" w:themeColor="text1"/>
        </w:rPr>
        <w:t>and Evaluate</w:t>
      </w:r>
      <w:r w:rsidR="7C8D6C41">
        <w:t xml:space="preserve"> </w:t>
      </w:r>
      <w:r>
        <w:t>t</w:t>
      </w:r>
      <w:r w:rsidR="000D0105">
        <w:t>he case of HM to support the MSM</w:t>
      </w:r>
    </w:p>
    <w:p w14:paraId="0FE97FB0" w14:textId="40049789" w:rsidR="00C85FD5" w:rsidRDefault="443D1DBB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3CD1BF98" w:rsidRPr="3732FC5A">
        <w:rPr>
          <w:rFonts w:ascii="Calibri" w:eastAsia="Calibri" w:hAnsi="Calibri" w:cs="Calibri"/>
          <w:color w:val="000000" w:themeColor="text1"/>
        </w:rPr>
        <w:t>and Evaluate</w:t>
      </w:r>
      <w:r w:rsidR="3CD1BF98">
        <w:t xml:space="preserve"> </w:t>
      </w:r>
      <w:r w:rsidR="00C85FD5">
        <w:t xml:space="preserve">Craik &amp; Watkins research </w:t>
      </w:r>
      <w:r w:rsidR="000D0105">
        <w:t>conflicts with MSM – maintenance rehearsal &amp; elaborative rehearsal</w:t>
      </w:r>
    </w:p>
    <w:p w14:paraId="74EBD41D" w14:textId="11E08CCB" w:rsidR="000D0105" w:rsidRDefault="7C838B8D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4BDA5425" w:rsidRPr="3732FC5A">
        <w:rPr>
          <w:rFonts w:ascii="Calibri" w:eastAsia="Calibri" w:hAnsi="Calibri" w:cs="Calibri"/>
          <w:color w:val="000000" w:themeColor="text1"/>
        </w:rPr>
        <w:t>and Evaluate</w:t>
      </w:r>
      <w:r w:rsidR="4BDA5425">
        <w:t xml:space="preserve"> </w:t>
      </w:r>
      <w:r>
        <w:t>t</w:t>
      </w:r>
      <w:r w:rsidR="000D0105">
        <w:t xml:space="preserve">he case of KF to support and conflict MSM </w:t>
      </w:r>
    </w:p>
    <w:p w14:paraId="657B4723" w14:textId="2487A1B4" w:rsidR="000D0105" w:rsidRDefault="696E0299" w:rsidP="00B418B3">
      <w:pPr>
        <w:pStyle w:val="ListParagraph"/>
        <w:numPr>
          <w:ilvl w:val="0"/>
          <w:numId w:val="3"/>
        </w:numPr>
        <w:spacing w:after="100" w:afterAutospacing="1"/>
      </w:pPr>
      <w:r>
        <w:t xml:space="preserve">Describe and Evaluate </w:t>
      </w:r>
      <w:r w:rsidR="000D0105" w:rsidRPr="3732FC5A">
        <w:rPr>
          <w:b/>
          <w:bCs/>
        </w:rPr>
        <w:t>Tulving (1972)</w:t>
      </w:r>
      <w:r w:rsidR="000D0105">
        <w:t xml:space="preserve"> Types of Long-term memory – episodic, sematic and procedural </w:t>
      </w:r>
    </w:p>
    <w:p w14:paraId="08ABB57C" w14:textId="1835C9CA" w:rsidR="000D0105" w:rsidRDefault="61F7B656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>Outline</w:t>
      </w:r>
      <w:r w:rsidR="19D98C6E">
        <w:t xml:space="preserve"> </w:t>
      </w:r>
      <w:r w:rsidR="19D98C6E" w:rsidRPr="3732FC5A">
        <w:rPr>
          <w:rFonts w:ascii="Calibri" w:eastAsia="Calibri" w:hAnsi="Calibri" w:cs="Calibri"/>
          <w:color w:val="000000" w:themeColor="text1"/>
        </w:rPr>
        <w:t>and Evaluate</w:t>
      </w:r>
      <w:r>
        <w:t xml:space="preserve"> t</w:t>
      </w:r>
      <w:r w:rsidR="000D0105">
        <w:t xml:space="preserve">he case of HM and Clive wearing to support types of LTM </w:t>
      </w:r>
    </w:p>
    <w:p w14:paraId="42FC72BE" w14:textId="67008DF3" w:rsidR="000D0105" w:rsidRDefault="4F7B7E50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28EC1871" w:rsidRPr="3732FC5A">
        <w:rPr>
          <w:rFonts w:ascii="Calibri" w:eastAsia="Calibri" w:hAnsi="Calibri" w:cs="Calibri"/>
          <w:color w:val="000000" w:themeColor="text1"/>
        </w:rPr>
        <w:t>and Evaluate</w:t>
      </w:r>
      <w:r w:rsidR="28EC1871">
        <w:t xml:space="preserve"> </w:t>
      </w:r>
      <w:r w:rsidR="000D0105">
        <w:t xml:space="preserve">Cohen &amp; Squire (1980) </w:t>
      </w:r>
      <w:r w:rsidR="7AA5FB02">
        <w:t xml:space="preserve">and how they </w:t>
      </w:r>
      <w:r w:rsidR="000D0105">
        <w:t xml:space="preserve">differentiate between procedural memory and declarative memory </w:t>
      </w:r>
    </w:p>
    <w:p w14:paraId="6CCF4128" w14:textId="09CF700A" w:rsidR="00FA2E4B" w:rsidRDefault="2449F82F" w:rsidP="00B418B3">
      <w:pPr>
        <w:pStyle w:val="ListParagraph"/>
        <w:numPr>
          <w:ilvl w:val="0"/>
          <w:numId w:val="3"/>
        </w:numPr>
        <w:spacing w:after="100" w:afterAutospacing="1"/>
      </w:pPr>
      <w:r>
        <w:t xml:space="preserve">Describe and Evaluate </w:t>
      </w:r>
      <w:r w:rsidR="000D0105" w:rsidRPr="3732FC5A">
        <w:rPr>
          <w:b/>
          <w:bCs/>
        </w:rPr>
        <w:t xml:space="preserve">Baddeley &amp; Hitch (1974) </w:t>
      </w:r>
      <w:r w:rsidR="00FA2E4B">
        <w:t>Working memory model</w:t>
      </w:r>
      <w:r w:rsidR="000D0105">
        <w:t xml:space="preserve"> (WMM)</w:t>
      </w:r>
      <w:r w:rsidR="00FA2E4B">
        <w:t>: central executive, phonological loop</w:t>
      </w:r>
      <w:r w:rsidR="000D0105">
        <w:t>: phonological store (inner ear), articulatory control (inner voice)</w:t>
      </w:r>
      <w:r w:rsidR="00FA2E4B">
        <w:t>, visuo-spatial</w:t>
      </w:r>
      <w:r w:rsidR="000D0105">
        <w:t>: inner scribe, visual cache</w:t>
      </w:r>
    </w:p>
    <w:p w14:paraId="36A96A97" w14:textId="6C9E2CC8" w:rsidR="000D0105" w:rsidRDefault="7AF60ECD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3C17E6AD" w:rsidRPr="3732FC5A">
        <w:rPr>
          <w:rFonts w:ascii="Calibri" w:eastAsia="Calibri" w:hAnsi="Calibri" w:cs="Calibri"/>
          <w:color w:val="000000" w:themeColor="text1"/>
        </w:rPr>
        <w:t>and Evaluate</w:t>
      </w:r>
      <w:r w:rsidR="3C17E6AD">
        <w:t xml:space="preserve"> </w:t>
      </w:r>
      <w:r w:rsidR="00B023DA">
        <w:t xml:space="preserve">Baddeley &amp; Hitch (1975) Dual task </w:t>
      </w:r>
    </w:p>
    <w:p w14:paraId="53261FF6" w14:textId="4E6DC47F" w:rsidR="00B023DA" w:rsidRDefault="798DE29B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5FB2D0A0" w:rsidRPr="3732FC5A">
        <w:rPr>
          <w:rFonts w:ascii="Calibri" w:eastAsia="Calibri" w:hAnsi="Calibri" w:cs="Calibri"/>
          <w:color w:val="000000" w:themeColor="text1"/>
        </w:rPr>
        <w:t>and Evaluate</w:t>
      </w:r>
      <w:r w:rsidR="5FB2D0A0">
        <w:t xml:space="preserve"> </w:t>
      </w:r>
      <w:r w:rsidR="00B023DA">
        <w:t xml:space="preserve">Baddeley &amp; Hitch (1975) Word length effect </w:t>
      </w:r>
    </w:p>
    <w:p w14:paraId="00074875" w14:textId="2399BF9E" w:rsidR="00B023DA" w:rsidRDefault="1FFC51A8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>Outline</w:t>
      </w:r>
      <w:r w:rsidR="2232871B" w:rsidRPr="3732FC5A">
        <w:rPr>
          <w:rFonts w:ascii="Calibri" w:eastAsia="Calibri" w:hAnsi="Calibri" w:cs="Calibri"/>
          <w:color w:val="000000" w:themeColor="text1"/>
        </w:rPr>
        <w:t xml:space="preserve"> and Evaluate</w:t>
      </w:r>
      <w:r>
        <w:t xml:space="preserve"> t</w:t>
      </w:r>
      <w:r w:rsidR="00B023DA">
        <w:t xml:space="preserve">he case of KF in support of the WMM </w:t>
      </w:r>
    </w:p>
    <w:p w14:paraId="3F0DF768" w14:textId="4CDA289B" w:rsidR="00B023DA" w:rsidRDefault="18AD1A42" w:rsidP="00B418B3">
      <w:pPr>
        <w:pStyle w:val="ListParagraph"/>
        <w:numPr>
          <w:ilvl w:val="0"/>
          <w:numId w:val="3"/>
        </w:numPr>
        <w:spacing w:after="100" w:afterAutospacing="1"/>
      </w:pPr>
      <w:r>
        <w:t xml:space="preserve">Describe </w:t>
      </w:r>
      <w:r w:rsidR="26E741BB">
        <w:t xml:space="preserve">and Evaluate </w:t>
      </w:r>
      <w:r>
        <w:t>the e</w:t>
      </w:r>
      <w:r w:rsidR="00B023DA">
        <w:t xml:space="preserve">xplanations for forgetting: interference: proactive interference &amp; retroactive interference </w:t>
      </w:r>
    </w:p>
    <w:p w14:paraId="0BFAA205" w14:textId="226617CE" w:rsidR="00B023DA" w:rsidRDefault="40C868B7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616A766D" w:rsidRPr="3732FC5A">
        <w:rPr>
          <w:rFonts w:ascii="Calibri" w:eastAsia="Calibri" w:hAnsi="Calibri" w:cs="Calibri"/>
          <w:color w:val="000000" w:themeColor="text1"/>
        </w:rPr>
        <w:t>and Evaluate</w:t>
      </w:r>
      <w:r w:rsidR="616A766D">
        <w:t xml:space="preserve"> </w:t>
      </w:r>
      <w:r w:rsidR="00B023DA">
        <w:t xml:space="preserve">McGeoch &amp; McDonald (1931) – retroactive interference </w:t>
      </w:r>
    </w:p>
    <w:p w14:paraId="73D1BBC0" w14:textId="754F2A2D" w:rsidR="00B023DA" w:rsidRDefault="6F428E9E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41AC5463" w:rsidRPr="3732FC5A">
        <w:rPr>
          <w:rFonts w:ascii="Calibri" w:eastAsia="Calibri" w:hAnsi="Calibri" w:cs="Calibri"/>
          <w:color w:val="000000" w:themeColor="text1"/>
        </w:rPr>
        <w:t>and Evaluate</w:t>
      </w:r>
      <w:r w:rsidR="41AC5463">
        <w:t xml:space="preserve"> </w:t>
      </w:r>
      <w:r w:rsidR="00B023DA">
        <w:t xml:space="preserve">Baddeley &amp; Hitch (1977) interference in real life </w:t>
      </w:r>
    </w:p>
    <w:p w14:paraId="4D644C9A" w14:textId="66DDB01C" w:rsidR="009577D7" w:rsidRDefault="5D64CBB3" w:rsidP="00B418B3">
      <w:pPr>
        <w:pStyle w:val="ListParagraph"/>
        <w:numPr>
          <w:ilvl w:val="0"/>
          <w:numId w:val="3"/>
        </w:numPr>
        <w:spacing w:after="100" w:afterAutospacing="1"/>
      </w:pPr>
      <w:r>
        <w:t>Describe and Evaluate the e</w:t>
      </w:r>
      <w:r w:rsidR="009577D7">
        <w:t xml:space="preserve">xplanations for forgetting: </w:t>
      </w:r>
      <w:r w:rsidR="00B023DA">
        <w:t>retrieval failure</w:t>
      </w:r>
      <w:r w:rsidR="009577D7">
        <w:t xml:space="preserve"> and the encoding specificity principle </w:t>
      </w:r>
    </w:p>
    <w:p w14:paraId="2745909D" w14:textId="5BB2B7FC" w:rsidR="009577D7" w:rsidRDefault="1D90B808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701E55D1" w:rsidRPr="3732FC5A">
        <w:rPr>
          <w:rFonts w:ascii="Calibri" w:eastAsia="Calibri" w:hAnsi="Calibri" w:cs="Calibri"/>
          <w:color w:val="000000" w:themeColor="text1"/>
        </w:rPr>
        <w:t>and Evaluate</w:t>
      </w:r>
      <w:r w:rsidR="701E55D1">
        <w:t xml:space="preserve"> </w:t>
      </w:r>
      <w:r w:rsidR="009577D7">
        <w:t xml:space="preserve">Tulving &amp; Pearlstone (1966) categories and meaningful links </w:t>
      </w:r>
    </w:p>
    <w:p w14:paraId="772B86AA" w14:textId="105F13F1" w:rsidR="009577D7" w:rsidRDefault="146F2C06" w:rsidP="00B418B3">
      <w:pPr>
        <w:pStyle w:val="ListParagraph"/>
        <w:numPr>
          <w:ilvl w:val="0"/>
          <w:numId w:val="3"/>
        </w:numPr>
        <w:spacing w:after="100" w:afterAutospacing="1"/>
      </w:pPr>
      <w:r>
        <w:t>Describe and Evaluate the e</w:t>
      </w:r>
      <w:r w:rsidR="009577D7">
        <w:t xml:space="preserve">xplanations for forgetting: context dependent cues </w:t>
      </w:r>
    </w:p>
    <w:p w14:paraId="31373281" w14:textId="5FBE0AC4" w:rsidR="009577D7" w:rsidRDefault="1DA1A945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lastRenderedPageBreak/>
        <w:t xml:space="preserve">Outline </w:t>
      </w:r>
      <w:r w:rsidR="44F58AC3" w:rsidRPr="3732FC5A">
        <w:rPr>
          <w:rFonts w:ascii="Calibri" w:eastAsia="Calibri" w:hAnsi="Calibri" w:cs="Calibri"/>
          <w:color w:val="000000" w:themeColor="text1"/>
        </w:rPr>
        <w:t>and Evaluate</w:t>
      </w:r>
      <w:r w:rsidR="44F58AC3">
        <w:t xml:space="preserve"> </w:t>
      </w:r>
      <w:r w:rsidR="009577D7">
        <w:t xml:space="preserve">Godden &amp; Baddeley (1975) – Divers and context dependent memory </w:t>
      </w:r>
      <w:r w:rsidR="004D05D3">
        <w:t>and forgetting</w:t>
      </w:r>
    </w:p>
    <w:p w14:paraId="30F9EE66" w14:textId="2721FF5D" w:rsidR="009577D7" w:rsidRDefault="5960101E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29622FA6" w:rsidRPr="3732FC5A">
        <w:rPr>
          <w:rFonts w:ascii="Calibri" w:eastAsia="Calibri" w:hAnsi="Calibri" w:cs="Calibri"/>
          <w:color w:val="000000" w:themeColor="text1"/>
        </w:rPr>
        <w:t>and Evaluate</w:t>
      </w:r>
      <w:r w:rsidR="29622FA6">
        <w:t xml:space="preserve"> </w:t>
      </w:r>
      <w:r w:rsidR="009577D7">
        <w:t xml:space="preserve">Grant (1998) – matching and mismatching environments </w:t>
      </w:r>
    </w:p>
    <w:p w14:paraId="38DF2BBA" w14:textId="73EC7FF8" w:rsidR="009577D7" w:rsidRDefault="36AFB472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4D609E9E" w:rsidRPr="3732FC5A">
        <w:rPr>
          <w:rFonts w:ascii="Calibri" w:eastAsia="Calibri" w:hAnsi="Calibri" w:cs="Calibri"/>
          <w:color w:val="000000" w:themeColor="text1"/>
        </w:rPr>
        <w:t>and Evaluate</w:t>
      </w:r>
      <w:r w:rsidR="4D609E9E">
        <w:t xml:space="preserve"> </w:t>
      </w:r>
      <w:r w:rsidR="009577D7">
        <w:t xml:space="preserve">Aggleton &amp; Waskett (1999) </w:t>
      </w:r>
      <w:r w:rsidR="009577D7" w:rsidRPr="3732FC5A">
        <w:rPr>
          <w:b/>
          <w:bCs/>
        </w:rPr>
        <w:t>OR</w:t>
      </w:r>
      <w:r w:rsidR="009577D7">
        <w:t xml:space="preserve"> Baker (2004) context dependent memory </w:t>
      </w:r>
      <w:r w:rsidR="004D05D3">
        <w:t xml:space="preserve">and forgetting </w:t>
      </w:r>
    </w:p>
    <w:p w14:paraId="75CAC487" w14:textId="588ADA09" w:rsidR="009577D7" w:rsidRDefault="1B6486AF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>
        <w:t xml:space="preserve">Outline </w:t>
      </w:r>
      <w:r w:rsidR="5ABD3606" w:rsidRPr="3732FC5A">
        <w:rPr>
          <w:rFonts w:ascii="Calibri" w:eastAsia="Calibri" w:hAnsi="Calibri" w:cs="Calibri"/>
          <w:color w:val="000000" w:themeColor="text1"/>
        </w:rPr>
        <w:t>and Evaluate</w:t>
      </w:r>
      <w:r w:rsidR="5ABD3606">
        <w:t xml:space="preserve"> </w:t>
      </w:r>
      <w:r w:rsidR="009577D7">
        <w:t xml:space="preserve">Carter &amp; Cassidy (1998) state dependent memory and forgetting </w:t>
      </w:r>
    </w:p>
    <w:p w14:paraId="3C592A52" w14:textId="12D53771" w:rsidR="00EE5451" w:rsidRDefault="66D1FA73" w:rsidP="00B418B3">
      <w:pPr>
        <w:pStyle w:val="ListParagraph"/>
        <w:numPr>
          <w:ilvl w:val="0"/>
          <w:numId w:val="3"/>
        </w:numPr>
        <w:spacing w:after="100" w:afterAutospacing="1"/>
      </w:pPr>
      <w:r>
        <w:t>Describe the f</w:t>
      </w:r>
      <w:r w:rsidR="000D0105">
        <w:t>eatures of the WMM: coding and capacity</w:t>
      </w:r>
    </w:p>
    <w:p w14:paraId="66C463CF" w14:textId="64B7885E" w:rsidR="00692B5E" w:rsidRDefault="33592D19" w:rsidP="00B418B3">
      <w:pPr>
        <w:pStyle w:val="ListParagraph"/>
        <w:numPr>
          <w:ilvl w:val="0"/>
          <w:numId w:val="3"/>
        </w:numPr>
        <w:spacing w:after="100" w:afterAutospacing="1"/>
      </w:pPr>
      <w:r>
        <w:t xml:space="preserve">Describe and Evaluate </w:t>
      </w:r>
      <w:r w:rsidR="004D05D3">
        <w:t xml:space="preserve">Eye Witness Testimony (EWT) and the </w:t>
      </w:r>
      <w:r w:rsidR="00692B5E">
        <w:t>r</w:t>
      </w:r>
      <w:r w:rsidR="004D05D3">
        <w:t>ole of leading questions</w:t>
      </w:r>
    </w:p>
    <w:p w14:paraId="0AA84B6E" w14:textId="439A06EC" w:rsidR="00692B5E" w:rsidRDefault="646F4417" w:rsidP="00B418B3">
      <w:pPr>
        <w:pStyle w:val="ListParagraph"/>
        <w:numPr>
          <w:ilvl w:val="0"/>
          <w:numId w:val="3"/>
        </w:numPr>
        <w:spacing w:after="100" w:afterAutospacing="1"/>
      </w:pPr>
      <w:r>
        <w:t xml:space="preserve">Describe and Evaluate </w:t>
      </w:r>
      <w:r w:rsidR="00EE5451">
        <w:t xml:space="preserve">Loftus &amp; Palmer </w:t>
      </w:r>
      <w:r w:rsidR="004D05D3">
        <w:t>(1974) experiment 1 &amp; experiment 2 – leading verbs and speed estimates – response bias &amp; memory distortion</w:t>
      </w:r>
    </w:p>
    <w:p w14:paraId="0C1858FE" w14:textId="2861A9BB" w:rsidR="00692B5E" w:rsidRDefault="3C76EE1D" w:rsidP="00B418B3">
      <w:pPr>
        <w:pStyle w:val="ListParagraph"/>
        <w:numPr>
          <w:ilvl w:val="0"/>
          <w:numId w:val="3"/>
        </w:numPr>
        <w:spacing w:after="100" w:afterAutospacing="1"/>
      </w:pPr>
      <w:r>
        <w:t>Describe t</w:t>
      </w:r>
      <w:r w:rsidR="00EE5451">
        <w:t>he role of p</w:t>
      </w:r>
      <w:r w:rsidR="00692B5E">
        <w:t>ost event discussion in EWT.</w:t>
      </w:r>
    </w:p>
    <w:p w14:paraId="1D1AB6CE" w14:textId="76AE3C40" w:rsidR="00692B5E" w:rsidRDefault="000C68E8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 xml:space="preserve">Outline </w:t>
      </w:r>
      <w:r w:rsidR="0887BD88" w:rsidRPr="3732FC5A">
        <w:rPr>
          <w:rFonts w:ascii="Calibri" w:eastAsia="Calibri" w:hAnsi="Calibri" w:cs="Calibri"/>
          <w:color w:val="000000" w:themeColor="text1"/>
        </w:rPr>
        <w:t>and Evaluate</w:t>
      </w:r>
      <w:r w:rsidR="0887BD88">
        <w:t xml:space="preserve"> </w:t>
      </w:r>
      <w:r w:rsidR="00EE5451">
        <w:t xml:space="preserve">Gabbert et al </w:t>
      </w:r>
      <w:r w:rsidR="004D05D3">
        <w:t xml:space="preserve">(2003) co-witness vs individual </w:t>
      </w:r>
    </w:p>
    <w:p w14:paraId="528769D7" w14:textId="5CCFE274" w:rsidR="00692B5E" w:rsidRDefault="7E04607B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 and Evaluate</w:t>
      </w:r>
      <w:r>
        <w:t xml:space="preserve"> </w:t>
      </w:r>
      <w:r w:rsidR="004D05D3">
        <w:t>The</w:t>
      </w:r>
      <w:r w:rsidR="00692B5E">
        <w:t xml:space="preserve"> inverted U relationship b</w:t>
      </w:r>
      <w:r w:rsidR="004D05D3">
        <w:t>y Yerkes-Dodson</w:t>
      </w:r>
      <w:r w:rsidR="00692B5E">
        <w:t>.</w:t>
      </w:r>
    </w:p>
    <w:p w14:paraId="0D75BABA" w14:textId="1CAE0EE1" w:rsidR="00893C25" w:rsidRDefault="53216B22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 and Evaluate</w:t>
      </w:r>
      <w:r>
        <w:t xml:space="preserve"> h</w:t>
      </w:r>
      <w:r w:rsidR="004D05D3">
        <w:t xml:space="preserve">ow </w:t>
      </w:r>
      <w:r w:rsidR="00692B5E">
        <w:t xml:space="preserve">anxiety can decrease accuracy of EWT through </w:t>
      </w:r>
      <w:r w:rsidR="00187821">
        <w:t>the re</w:t>
      </w:r>
      <w:r w:rsidR="004D05D3">
        <w:t>s</w:t>
      </w:r>
      <w:r w:rsidR="00893C25">
        <w:t>earch by Johnson &amp; Scott (1976)</w:t>
      </w:r>
    </w:p>
    <w:p w14:paraId="2FF438F8" w14:textId="5B23B327" w:rsidR="00692B5E" w:rsidRDefault="2EB62E4A" w:rsidP="00B418B3">
      <w:pPr>
        <w:pStyle w:val="ListParagraph"/>
        <w:numPr>
          <w:ilvl w:val="0"/>
          <w:numId w:val="3"/>
        </w:numPr>
        <w:spacing w:after="100" w:afterAutospacing="1"/>
      </w:pPr>
      <w:r>
        <w:t xml:space="preserve">Outline and Evaluate </w:t>
      </w:r>
      <w:r w:rsidR="004D05D3">
        <w:t>Deffenbacher et al (2004) application of Yerkes-Dodson law to EWT</w:t>
      </w:r>
    </w:p>
    <w:p w14:paraId="473A5018" w14:textId="6E240ADB" w:rsidR="00692B5E" w:rsidRDefault="7C233062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 and Evaluate</w:t>
      </w:r>
      <w:r>
        <w:t xml:space="preserve"> </w:t>
      </w:r>
      <w:r w:rsidR="004D05D3">
        <w:t>W</w:t>
      </w:r>
      <w:r w:rsidR="00692B5E">
        <w:t>eapon focus effect as outlined by Loftus.</w:t>
      </w:r>
    </w:p>
    <w:p w14:paraId="3D370490" w14:textId="2B4ACB73" w:rsidR="004D05D3" w:rsidRDefault="3D4CAE62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4D05D3">
        <w:t xml:space="preserve">Valentine et al (2009) heart rate/anxiety  </w:t>
      </w:r>
    </w:p>
    <w:p w14:paraId="231F85EE" w14:textId="197BD422" w:rsidR="00692B5E" w:rsidRDefault="77B2381A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 and Evaluate</w:t>
      </w:r>
      <w:r>
        <w:t xml:space="preserve"> h</w:t>
      </w:r>
      <w:r w:rsidR="00692B5E">
        <w:t>ow anxiety can increase accuracy of EWT t</w:t>
      </w:r>
      <w:r w:rsidR="00187821">
        <w:t>hr</w:t>
      </w:r>
      <w:r w:rsidR="004D05D3">
        <w:t xml:space="preserve">ough the research by Cutshall et al (1986) </w:t>
      </w:r>
    </w:p>
    <w:p w14:paraId="2B494655" w14:textId="40C01348" w:rsidR="004D05D3" w:rsidRDefault="74ABAC14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4D05D3">
        <w:t xml:space="preserve">Bothwell et al (1987) weakness of anxiety theories – consideration of individual differences </w:t>
      </w:r>
    </w:p>
    <w:p w14:paraId="43073F3B" w14:textId="03987AD1" w:rsidR="00692B5E" w:rsidRDefault="35D6C8B4" w:rsidP="00B418B3">
      <w:pPr>
        <w:pStyle w:val="ListParagraph"/>
        <w:numPr>
          <w:ilvl w:val="0"/>
          <w:numId w:val="3"/>
        </w:numPr>
        <w:spacing w:after="100" w:afterAutospacing="1"/>
      </w:pPr>
      <w:r>
        <w:t xml:space="preserve">Describe and Evaluate </w:t>
      </w:r>
      <w:r w:rsidR="004D05D3">
        <w:t>C</w:t>
      </w:r>
      <w:r w:rsidR="00692B5E">
        <w:t>ognitive interview (CI), an enhanced cognitive interview (ECI) an</w:t>
      </w:r>
      <w:r w:rsidR="004D05D3">
        <w:t>d a standard interview (SI)</w:t>
      </w:r>
    </w:p>
    <w:p w14:paraId="40118512" w14:textId="65B17A3F" w:rsidR="004D05D3" w:rsidRDefault="383A5BA0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4D05D3">
        <w:t>Fisher &amp; Gieselman (1992) stage</w:t>
      </w:r>
      <w:r w:rsidR="006B7B0F">
        <w:t>s of CI</w:t>
      </w:r>
      <w:r w:rsidR="004D05D3">
        <w:t>: report everything, context reinstatement, narrative reordering and recall from different perspectives</w:t>
      </w:r>
    </w:p>
    <w:p w14:paraId="3737BD08" w14:textId="427ADB71" w:rsidR="006B7B0F" w:rsidRDefault="0F26D3EA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6B7B0F">
        <w:t xml:space="preserve">Fisher (1989) CI more effective than SI </w:t>
      </w:r>
    </w:p>
    <w:p w14:paraId="2064A2A9" w14:textId="5C9F17F4" w:rsidR="006B7B0F" w:rsidRDefault="1038F0A2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6B7B0F">
        <w:t xml:space="preserve">Fisher (1990) effectiveness of ECI </w:t>
      </w:r>
    </w:p>
    <w:p w14:paraId="6CC98CB2" w14:textId="4811A83D" w:rsidR="006B7B0F" w:rsidRDefault="389C9237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6B7B0F">
        <w:t>Milne &amp; Bull (2002) – usefulness of report everything and context reinstatement</w:t>
      </w:r>
    </w:p>
    <w:p w14:paraId="16C4C042" w14:textId="24FB4673" w:rsidR="006B7B0F" w:rsidRDefault="70841A17" w:rsidP="00B418B3">
      <w:pPr>
        <w:pStyle w:val="ListParagraph"/>
        <w:numPr>
          <w:ilvl w:val="0"/>
          <w:numId w:val="3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6B7B0F">
        <w:t xml:space="preserve">Kohnken et al (1999) increase in incorrect info in CI </w:t>
      </w:r>
    </w:p>
    <w:p w14:paraId="6C44BDDE" w14:textId="436E0DA8" w:rsidR="001E5C1B" w:rsidRDefault="00FA2E4B" w:rsidP="00B418B3">
      <w:pPr>
        <w:spacing w:after="0"/>
        <w:rPr>
          <w:b/>
        </w:rPr>
      </w:pPr>
      <w:r w:rsidRPr="3732FC5A">
        <w:rPr>
          <w:b/>
          <w:bCs/>
        </w:rPr>
        <w:t>Attachment:</w:t>
      </w:r>
    </w:p>
    <w:p w14:paraId="197EFD71" w14:textId="4AF550DE" w:rsidR="00FA2E4B" w:rsidRDefault="5E422B3B" w:rsidP="00B418B3">
      <w:pPr>
        <w:pStyle w:val="ListParagraph"/>
        <w:numPr>
          <w:ilvl w:val="0"/>
          <w:numId w:val="10"/>
        </w:numPr>
        <w:spacing w:after="0"/>
      </w:pPr>
      <w:r>
        <w:t>D</w:t>
      </w:r>
      <w:r w:rsidR="003E68F9">
        <w:t>efine attachment</w:t>
      </w:r>
    </w:p>
    <w:p w14:paraId="30CD29C4" w14:textId="13B237E0" w:rsidR="00FA2E4B" w:rsidRDefault="0418216A" w:rsidP="00B418B3">
      <w:pPr>
        <w:pStyle w:val="ListParagraph"/>
        <w:numPr>
          <w:ilvl w:val="0"/>
          <w:numId w:val="10"/>
        </w:numPr>
        <w:spacing w:after="100" w:afterAutospacing="1"/>
      </w:pPr>
      <w:r>
        <w:t>Describe t</w:t>
      </w:r>
      <w:r w:rsidR="00FA2E4B">
        <w:t>he four characteristics of an attachment by Maccoby</w:t>
      </w:r>
      <w:r w:rsidR="003E68F9">
        <w:t xml:space="preserve"> (1980)</w:t>
      </w:r>
    </w:p>
    <w:p w14:paraId="1CB0D47F" w14:textId="774877B7" w:rsidR="00FA2E4B" w:rsidRDefault="4AF274A2" w:rsidP="00B418B3">
      <w:pPr>
        <w:pStyle w:val="ListParagraph"/>
        <w:numPr>
          <w:ilvl w:val="0"/>
          <w:numId w:val="10"/>
        </w:numPr>
        <w:spacing w:after="100" w:afterAutospacing="1"/>
      </w:pPr>
      <w:r>
        <w:t>Describe c</w:t>
      </w:r>
      <w:r w:rsidR="00FA2E4B">
        <w:t>aregiver-infant interactions including; Reciprocity, Interactional synchrony and Imitation.</w:t>
      </w:r>
    </w:p>
    <w:p w14:paraId="1817ACE7" w14:textId="493D738E" w:rsidR="003E68F9" w:rsidRDefault="0FD80CD7" w:rsidP="00B418B3">
      <w:pPr>
        <w:pStyle w:val="ListParagraph"/>
        <w:numPr>
          <w:ilvl w:val="0"/>
          <w:numId w:val="11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FA2E4B">
        <w:t>Tronick (1975)</w:t>
      </w:r>
      <w:r w:rsidR="003E68F9">
        <w:t xml:space="preserve"> – still face</w:t>
      </w:r>
    </w:p>
    <w:p w14:paraId="55FCA390" w14:textId="53BC8F95" w:rsidR="003E68F9" w:rsidRDefault="271EB124" w:rsidP="00B418B3">
      <w:pPr>
        <w:pStyle w:val="ListParagraph"/>
        <w:numPr>
          <w:ilvl w:val="0"/>
          <w:numId w:val="11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FA2E4B">
        <w:t>Meltzoff &amp; Moore (1977)</w:t>
      </w:r>
      <w:r w:rsidR="003E68F9">
        <w:t xml:space="preserve"> – imitation</w:t>
      </w:r>
    </w:p>
    <w:p w14:paraId="5F022010" w14:textId="28917F56" w:rsidR="003E68F9" w:rsidRDefault="6C83364C" w:rsidP="00B418B3">
      <w:pPr>
        <w:pStyle w:val="ListParagraph"/>
        <w:numPr>
          <w:ilvl w:val="0"/>
          <w:numId w:val="11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3E68F9">
        <w:t xml:space="preserve">Grossman (2002) </w:t>
      </w:r>
      <w:r w:rsidR="00893C25">
        <w:t xml:space="preserve">– role of the mother and father </w:t>
      </w:r>
    </w:p>
    <w:p w14:paraId="46D4DDA9" w14:textId="4C2394E6" w:rsidR="00FA2E4B" w:rsidRDefault="66B8272B" w:rsidP="00B418B3">
      <w:pPr>
        <w:pStyle w:val="ListParagraph"/>
        <w:numPr>
          <w:ilvl w:val="0"/>
          <w:numId w:val="11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FA2E4B">
        <w:t>Field (1978)</w:t>
      </w:r>
      <w:r w:rsidR="003E68F9">
        <w:t xml:space="preserve"> – role of the father </w:t>
      </w:r>
    </w:p>
    <w:p w14:paraId="47C4C64D" w14:textId="1B67526E" w:rsidR="00FA2E4B" w:rsidRDefault="3BA90B6A" w:rsidP="00B418B3">
      <w:pPr>
        <w:pStyle w:val="ListParagraph"/>
        <w:numPr>
          <w:ilvl w:val="0"/>
          <w:numId w:val="11"/>
        </w:numPr>
        <w:spacing w:after="100" w:afterAutospacing="1"/>
      </w:pPr>
      <w:r>
        <w:t>D</w:t>
      </w:r>
      <w:r w:rsidR="00FA2E4B">
        <w:t xml:space="preserve">escribe </w:t>
      </w:r>
      <w:r w:rsidR="4B11BC62">
        <w:t xml:space="preserve">and Evaluate </w:t>
      </w:r>
      <w:r w:rsidR="00FA2E4B">
        <w:t xml:space="preserve">key components of </w:t>
      </w:r>
      <w:r w:rsidR="00FA2E4B" w:rsidRPr="3732FC5A">
        <w:rPr>
          <w:b/>
          <w:bCs/>
        </w:rPr>
        <w:t>Schaffer &amp; Emerson’s study</w:t>
      </w:r>
      <w:r w:rsidR="305DD2EF" w:rsidRPr="3732FC5A">
        <w:rPr>
          <w:b/>
          <w:bCs/>
        </w:rPr>
        <w:t xml:space="preserve"> Glasgow baby study </w:t>
      </w:r>
    </w:p>
    <w:p w14:paraId="10E796D0" w14:textId="6F502F43" w:rsidR="00893C25" w:rsidRDefault="305DD2EF" w:rsidP="00B418B3">
      <w:pPr>
        <w:pStyle w:val="ListParagraph"/>
        <w:numPr>
          <w:ilvl w:val="0"/>
          <w:numId w:val="11"/>
        </w:numPr>
        <w:spacing w:after="100" w:afterAutospacing="1"/>
      </w:pPr>
      <w:r>
        <w:t xml:space="preserve">Describe the </w:t>
      </w:r>
      <w:r w:rsidR="00893C25">
        <w:t>4</w:t>
      </w:r>
      <w:r w:rsidR="00FA2E4B">
        <w:t xml:space="preserve"> stages of attachment as</w:t>
      </w:r>
      <w:r w:rsidR="00893C25">
        <w:t xml:space="preserve"> outlined by </w:t>
      </w:r>
      <w:r w:rsidR="00893C25" w:rsidRPr="3732FC5A">
        <w:rPr>
          <w:b/>
          <w:bCs/>
        </w:rPr>
        <w:t>Schaffer &amp; Emerson (1964)</w:t>
      </w:r>
      <w:r w:rsidR="00893C25">
        <w:t xml:space="preserve"> – asocial, indiscriminate, specific &amp; multiple </w:t>
      </w:r>
    </w:p>
    <w:p w14:paraId="1F54071E" w14:textId="3A4DA536" w:rsidR="00893C25" w:rsidRDefault="436DF3FF" w:rsidP="00B418B3">
      <w:pPr>
        <w:pStyle w:val="ListParagraph"/>
        <w:numPr>
          <w:ilvl w:val="0"/>
          <w:numId w:val="11"/>
        </w:numPr>
        <w:spacing w:after="100" w:afterAutospacing="1"/>
        <w:rPr>
          <w:rFonts w:eastAsiaTheme="minorEastAsia"/>
          <w:b/>
          <w:bCs/>
        </w:rPr>
      </w:pPr>
      <w:r w:rsidRPr="3732FC5A">
        <w:rPr>
          <w:rFonts w:ascii="Calibri" w:eastAsia="Calibri" w:hAnsi="Calibri" w:cs="Calibri"/>
          <w:color w:val="000000" w:themeColor="text1"/>
        </w:rPr>
        <w:lastRenderedPageBreak/>
        <w:t xml:space="preserve">Describe </w:t>
      </w:r>
      <w:r w:rsidR="63BE3029" w:rsidRPr="3732FC5A">
        <w:rPr>
          <w:rFonts w:ascii="Calibri" w:eastAsia="Calibri" w:hAnsi="Calibri" w:cs="Calibri"/>
          <w:color w:val="000000" w:themeColor="text1"/>
        </w:rPr>
        <w:t>and Evaluate</w:t>
      </w:r>
      <w:r w:rsidR="63BE3029">
        <w:t xml:space="preserve"> </w:t>
      </w:r>
      <w:r w:rsidR="00893C25" w:rsidRPr="3732FC5A">
        <w:rPr>
          <w:b/>
          <w:bCs/>
        </w:rPr>
        <w:t xml:space="preserve">Lorenz (1935) </w:t>
      </w:r>
      <w:r w:rsidR="00893C25">
        <w:t xml:space="preserve">imprinting and characteristics of imprinting: critical period, irreversible, template and sexual imprinting </w:t>
      </w:r>
    </w:p>
    <w:p w14:paraId="6CF3ECEB" w14:textId="235DD6DE" w:rsidR="00FA2E4B" w:rsidRDefault="45859332" w:rsidP="00B418B3">
      <w:pPr>
        <w:pStyle w:val="ListParagraph"/>
        <w:numPr>
          <w:ilvl w:val="0"/>
          <w:numId w:val="11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</w:t>
      </w:r>
      <w:r w:rsidR="307A0491" w:rsidRPr="3732FC5A">
        <w:rPr>
          <w:rFonts w:ascii="Calibri" w:eastAsia="Calibri" w:hAnsi="Calibri" w:cs="Calibri"/>
          <w:color w:val="000000" w:themeColor="text1"/>
        </w:rPr>
        <w:t>e and Evaluate</w:t>
      </w:r>
      <w:r w:rsidR="307A0491">
        <w:t xml:space="preserve"> </w:t>
      </w:r>
      <w:r w:rsidR="00893C25" w:rsidRPr="3732FC5A">
        <w:rPr>
          <w:b/>
          <w:bCs/>
        </w:rPr>
        <w:t>Harlow (1950-60)</w:t>
      </w:r>
      <w:r w:rsidR="00893C25">
        <w:t xml:space="preserve"> study 1 and 2 Rhesus monkeys </w:t>
      </w:r>
    </w:p>
    <w:p w14:paraId="64D4E52F" w14:textId="378F31EC" w:rsidR="00FA2E4B" w:rsidRDefault="5664B73D" w:rsidP="00B418B3">
      <w:pPr>
        <w:pStyle w:val="ListParagraph"/>
        <w:numPr>
          <w:ilvl w:val="0"/>
          <w:numId w:val="11"/>
        </w:numPr>
        <w:spacing w:after="100" w:afterAutospacing="1"/>
      </w:pPr>
      <w:r>
        <w:t xml:space="preserve">Describe and Evaluate the use of </w:t>
      </w:r>
      <w:r w:rsidR="00FA2E4B">
        <w:t>animal studies</w:t>
      </w:r>
      <w:r w:rsidR="00893C25">
        <w:t xml:space="preserve"> to explain human attachment</w:t>
      </w:r>
    </w:p>
    <w:p w14:paraId="78816CC3" w14:textId="6A10910A" w:rsidR="00893C25" w:rsidRDefault="7F5F0E82" w:rsidP="00B418B3">
      <w:pPr>
        <w:pStyle w:val="ListParagraph"/>
        <w:numPr>
          <w:ilvl w:val="0"/>
          <w:numId w:val="12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 and Evaluate</w:t>
      </w:r>
      <w:r>
        <w:t xml:space="preserve"> t</w:t>
      </w:r>
      <w:r w:rsidR="00893C25">
        <w:t xml:space="preserve">he </w:t>
      </w:r>
      <w:r w:rsidR="00FA2E4B">
        <w:t>learning theory explanation of attachment</w:t>
      </w:r>
      <w:r w:rsidR="717ED368">
        <w:t xml:space="preserve">: </w:t>
      </w:r>
      <w:r w:rsidR="00FA2E4B">
        <w:t xml:space="preserve">operant conditioning </w:t>
      </w:r>
      <w:r w:rsidR="00893C25">
        <w:t xml:space="preserve">- positive reinforcement &amp; negative reinforcement) </w:t>
      </w:r>
    </w:p>
    <w:p w14:paraId="47D4186E" w14:textId="7FE0C3EB" w:rsidR="00FA2E4B" w:rsidRDefault="52D6A9C4" w:rsidP="00B418B3">
      <w:pPr>
        <w:pStyle w:val="ListParagraph"/>
        <w:numPr>
          <w:ilvl w:val="0"/>
          <w:numId w:val="12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 and Evaluate</w:t>
      </w:r>
      <w:r>
        <w:t xml:space="preserve"> the learning theory explanation of attachment: c</w:t>
      </w:r>
      <w:r w:rsidR="00FA2E4B">
        <w:t>lassical conditio</w:t>
      </w:r>
      <w:r w:rsidR="00893C25">
        <w:t xml:space="preserve">ning – UCS, NS, UCR, CS, CR </w:t>
      </w:r>
    </w:p>
    <w:p w14:paraId="32BB66DA" w14:textId="54A06AAF" w:rsidR="00FA2E4B" w:rsidRDefault="06DD1B1A" w:rsidP="00B418B3">
      <w:pPr>
        <w:pStyle w:val="ListParagraph"/>
        <w:numPr>
          <w:ilvl w:val="0"/>
          <w:numId w:val="12"/>
        </w:numPr>
        <w:spacing w:after="100" w:afterAutospacing="1"/>
      </w:pPr>
      <w:r w:rsidRPr="3732FC5A">
        <w:rPr>
          <w:b/>
          <w:bCs/>
        </w:rPr>
        <w:t xml:space="preserve">Describe and Evaluate </w:t>
      </w:r>
      <w:r w:rsidR="00274EFD" w:rsidRPr="3732FC5A">
        <w:rPr>
          <w:b/>
          <w:bCs/>
        </w:rPr>
        <w:t xml:space="preserve">Bowlby's </w:t>
      </w:r>
      <w:r w:rsidR="213F6F97" w:rsidRPr="3732FC5A">
        <w:rPr>
          <w:b/>
          <w:bCs/>
        </w:rPr>
        <w:t xml:space="preserve">monotropic </w:t>
      </w:r>
      <w:r w:rsidR="00274EFD" w:rsidRPr="3732FC5A">
        <w:rPr>
          <w:b/>
          <w:bCs/>
        </w:rPr>
        <w:t>theory of attachment:</w:t>
      </w:r>
      <w:r w:rsidR="00274EFD">
        <w:t xml:space="preserve"> SO MAGIC!</w:t>
      </w:r>
      <w:r w:rsidR="00FA2E4B">
        <w:t xml:space="preserve"> </w:t>
      </w:r>
      <w:r w:rsidR="00274EFD">
        <w:t>Social releasers, monotropy, adaptive advantage, good quality care, IWM, critical period</w:t>
      </w:r>
    </w:p>
    <w:p w14:paraId="2780B2FC" w14:textId="6F4D47B2" w:rsidR="00274EFD" w:rsidRDefault="10B098BA" w:rsidP="00B418B3">
      <w:pPr>
        <w:pStyle w:val="ListParagraph"/>
        <w:numPr>
          <w:ilvl w:val="0"/>
          <w:numId w:val="12"/>
        </w:numPr>
        <w:spacing w:after="100" w:afterAutospacing="1"/>
      </w:pPr>
      <w:r>
        <w:t xml:space="preserve">Outline </w:t>
      </w:r>
      <w:r w:rsidR="00274EFD">
        <w:t>Fox (1977) – Bowlby’s theory is less ethnocentric</w:t>
      </w:r>
    </w:p>
    <w:p w14:paraId="6FA3B202" w14:textId="09A54FFD" w:rsidR="00274EFD" w:rsidRDefault="3E3211A9" w:rsidP="00B418B3">
      <w:pPr>
        <w:pStyle w:val="ListParagraph"/>
        <w:numPr>
          <w:ilvl w:val="0"/>
          <w:numId w:val="12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 xml:space="preserve">Outline </w:t>
      </w:r>
      <w:r w:rsidR="00274EFD">
        <w:t xml:space="preserve">Kagan (1984) temperament hypothesis </w:t>
      </w:r>
    </w:p>
    <w:p w14:paraId="7E7CC65F" w14:textId="2EACC189" w:rsidR="00825935" w:rsidRDefault="669FD05C" w:rsidP="00B418B3">
      <w:pPr>
        <w:pStyle w:val="ListParagraph"/>
        <w:numPr>
          <w:ilvl w:val="0"/>
          <w:numId w:val="12"/>
        </w:numPr>
        <w:spacing w:after="100" w:afterAutospacing="1"/>
      </w:pPr>
      <w:r w:rsidRPr="3732FC5A">
        <w:rPr>
          <w:b/>
          <w:bCs/>
        </w:rPr>
        <w:t xml:space="preserve">Describe and Evaluate </w:t>
      </w:r>
      <w:r w:rsidR="00825935" w:rsidRPr="3732FC5A">
        <w:rPr>
          <w:b/>
          <w:bCs/>
        </w:rPr>
        <w:t>Ainsworth (1970) strange situation study – sensitive responsiveness</w:t>
      </w:r>
    </w:p>
    <w:p w14:paraId="543B6BBE" w14:textId="0BC20C05" w:rsidR="00825935" w:rsidRDefault="28D31E76" w:rsidP="00B418B3">
      <w:pPr>
        <w:pStyle w:val="ListParagraph"/>
        <w:numPr>
          <w:ilvl w:val="0"/>
          <w:numId w:val="12"/>
        </w:numPr>
        <w:spacing w:after="100" w:afterAutospacing="1"/>
      </w:pPr>
      <w:r w:rsidRPr="3732FC5A">
        <w:rPr>
          <w:b/>
          <w:bCs/>
        </w:rPr>
        <w:t xml:space="preserve">Describe </w:t>
      </w:r>
      <w:r w:rsidR="00825935" w:rsidRPr="3732FC5A">
        <w:rPr>
          <w:b/>
          <w:bCs/>
        </w:rPr>
        <w:t xml:space="preserve">Ainsworth’s types of attachment: secure, insecure avoidant, insecure resistant </w:t>
      </w:r>
    </w:p>
    <w:p w14:paraId="302CD688" w14:textId="7373929A" w:rsidR="00825935" w:rsidRDefault="43CAC0E2" w:rsidP="00B418B3">
      <w:pPr>
        <w:pStyle w:val="ListParagraph"/>
        <w:numPr>
          <w:ilvl w:val="0"/>
          <w:numId w:val="12"/>
        </w:numPr>
        <w:spacing w:after="100" w:afterAutospacing="1"/>
      </w:pPr>
      <w:r>
        <w:t xml:space="preserve">Outline </w:t>
      </w:r>
      <w:r w:rsidR="00825935">
        <w:t xml:space="preserve">Main &amp; Soloman (1986) disorganised attachment </w:t>
      </w:r>
    </w:p>
    <w:p w14:paraId="4B1F1220" w14:textId="108573C9" w:rsidR="00825935" w:rsidRDefault="692465DE" w:rsidP="00B418B3">
      <w:pPr>
        <w:pStyle w:val="ListParagraph"/>
        <w:numPr>
          <w:ilvl w:val="0"/>
          <w:numId w:val="12"/>
        </w:numPr>
        <w:spacing w:after="100" w:afterAutospacing="1"/>
      </w:pPr>
      <w:r w:rsidRPr="3732FC5A">
        <w:rPr>
          <w:b/>
          <w:bCs/>
        </w:rPr>
        <w:t xml:space="preserve">Describe and Evaluate </w:t>
      </w:r>
      <w:r w:rsidR="00825935" w:rsidRPr="3732FC5A">
        <w:rPr>
          <w:b/>
          <w:bCs/>
        </w:rPr>
        <w:t xml:space="preserve">Van IJsendoorn &amp; Kroonenberg (1988) – cultural variations of attachment </w:t>
      </w:r>
    </w:p>
    <w:p w14:paraId="327D544C" w14:textId="5E67A2DF" w:rsidR="00825935" w:rsidRPr="00825935" w:rsidRDefault="29FF76E8" w:rsidP="00B418B3">
      <w:pPr>
        <w:pStyle w:val="ListParagraph"/>
        <w:numPr>
          <w:ilvl w:val="0"/>
          <w:numId w:val="12"/>
        </w:numPr>
        <w:spacing w:after="100" w:afterAutospacing="1"/>
      </w:pPr>
      <w:r>
        <w:t xml:space="preserve">Outline and Evaluate </w:t>
      </w:r>
      <w:r w:rsidR="00825935">
        <w:t xml:space="preserve">Simonella et al (2014) attachment in Italy </w:t>
      </w:r>
    </w:p>
    <w:p w14:paraId="39EBF78B" w14:textId="6BE0FB1B" w:rsidR="00825935" w:rsidRDefault="0C1E0231" w:rsidP="00B418B3">
      <w:pPr>
        <w:pStyle w:val="ListParagraph"/>
        <w:numPr>
          <w:ilvl w:val="0"/>
          <w:numId w:val="12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 xml:space="preserve">Outline and Evaluate </w:t>
      </w:r>
      <w:r w:rsidR="00825935">
        <w:t xml:space="preserve">Jin et al (2012) attachment in Korea </w:t>
      </w:r>
    </w:p>
    <w:p w14:paraId="50EFFE88" w14:textId="09DC8EBE" w:rsidR="00825935" w:rsidRDefault="05C52D96" w:rsidP="00B418B3">
      <w:pPr>
        <w:pStyle w:val="ListParagraph"/>
        <w:numPr>
          <w:ilvl w:val="0"/>
          <w:numId w:val="12"/>
        </w:numPr>
        <w:spacing w:after="100" w:afterAutospacing="1"/>
      </w:pPr>
      <w:r>
        <w:t xml:space="preserve">Describe </w:t>
      </w:r>
      <w:r w:rsidR="00825935">
        <w:t xml:space="preserve">the difference between collectivist cultures and individualist cultures </w:t>
      </w:r>
      <w:bookmarkStart w:id="0" w:name="_GoBack"/>
      <w:bookmarkEnd w:id="0"/>
    </w:p>
    <w:p w14:paraId="14EE4D1D" w14:textId="5A3D9883" w:rsidR="00893C25" w:rsidRDefault="561FF8BF" w:rsidP="00B418B3">
      <w:pPr>
        <w:pStyle w:val="ListParagraph"/>
        <w:numPr>
          <w:ilvl w:val="0"/>
          <w:numId w:val="12"/>
        </w:numPr>
        <w:spacing w:after="100" w:afterAutospacing="1"/>
      </w:pPr>
      <w:r w:rsidRPr="3732FC5A">
        <w:rPr>
          <w:b/>
          <w:bCs/>
        </w:rPr>
        <w:t xml:space="preserve">Describe and Evaluate </w:t>
      </w:r>
      <w:r w:rsidR="00825935" w:rsidRPr="3732FC5A">
        <w:rPr>
          <w:b/>
          <w:bCs/>
        </w:rPr>
        <w:t xml:space="preserve">Bowlby's maternal deprivation hypothesis &amp; affectionless psychopathy </w:t>
      </w:r>
    </w:p>
    <w:p w14:paraId="5A659462" w14:textId="7A4FEA34" w:rsidR="00FA2E4B" w:rsidRDefault="05073340" w:rsidP="00B418B3">
      <w:pPr>
        <w:pStyle w:val="ListParagraph"/>
        <w:numPr>
          <w:ilvl w:val="0"/>
          <w:numId w:val="12"/>
        </w:numPr>
        <w:spacing w:after="100" w:afterAutospacing="1"/>
      </w:pPr>
      <w:r>
        <w:t xml:space="preserve">Outline and Evaluate </w:t>
      </w:r>
      <w:r w:rsidR="00893C25">
        <w:t xml:space="preserve">Goldfarb </w:t>
      </w:r>
      <w:r w:rsidR="00825935">
        <w:t>(1947) effects of privation on intellectual development</w:t>
      </w:r>
    </w:p>
    <w:p w14:paraId="05FA4F9E" w14:textId="09665FE0" w:rsidR="00FA2E4B" w:rsidRDefault="13A7FABD" w:rsidP="00B418B3">
      <w:pPr>
        <w:pStyle w:val="ListParagraph"/>
        <w:numPr>
          <w:ilvl w:val="0"/>
          <w:numId w:val="12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 xml:space="preserve">Outline and Evaluate </w:t>
      </w:r>
      <w:r w:rsidR="00825935">
        <w:t xml:space="preserve">Spitz &amp; Wolf (1946) effects of deprivation – affectionless psychopathy </w:t>
      </w:r>
    </w:p>
    <w:p w14:paraId="6ECD15F8" w14:textId="5690EBAD" w:rsidR="00FA2E4B" w:rsidRDefault="5885B019" w:rsidP="00B418B3">
      <w:pPr>
        <w:pStyle w:val="ListParagraph"/>
        <w:numPr>
          <w:ilvl w:val="0"/>
          <w:numId w:val="12"/>
        </w:numPr>
        <w:spacing w:after="100" w:afterAutospacing="1"/>
      </w:pPr>
      <w:r w:rsidRPr="3732FC5A">
        <w:rPr>
          <w:b/>
          <w:bCs/>
        </w:rPr>
        <w:t xml:space="preserve">Describe and Evaluate </w:t>
      </w:r>
      <w:r w:rsidR="00825935" w:rsidRPr="3732FC5A">
        <w:rPr>
          <w:b/>
          <w:bCs/>
        </w:rPr>
        <w:t xml:space="preserve">Bowlby’s </w:t>
      </w:r>
      <w:r w:rsidR="00FA2E4B" w:rsidRPr="3732FC5A">
        <w:rPr>
          <w:b/>
          <w:bCs/>
        </w:rPr>
        <w:t xml:space="preserve">44 thieves study </w:t>
      </w:r>
    </w:p>
    <w:p w14:paraId="00591CD7" w14:textId="790B26C2" w:rsidR="00FA2E4B" w:rsidRDefault="4A76511E" w:rsidP="00B418B3">
      <w:pPr>
        <w:pStyle w:val="ListParagraph"/>
        <w:numPr>
          <w:ilvl w:val="0"/>
          <w:numId w:val="12"/>
        </w:numPr>
        <w:spacing w:after="100" w:afterAutospacing="1"/>
      </w:pPr>
      <w:r w:rsidRPr="3732FC5A">
        <w:rPr>
          <w:b/>
          <w:bCs/>
        </w:rPr>
        <w:t xml:space="preserve">Describe and Evaluate the </w:t>
      </w:r>
      <w:r w:rsidR="00825935" w:rsidRPr="3732FC5A">
        <w:rPr>
          <w:b/>
          <w:bCs/>
        </w:rPr>
        <w:t>e</w:t>
      </w:r>
      <w:r w:rsidR="00FA2E4B" w:rsidRPr="3732FC5A">
        <w:rPr>
          <w:b/>
          <w:bCs/>
        </w:rPr>
        <w:t xml:space="preserve">ffects of institutionalised care: The Romanian orphan </w:t>
      </w:r>
      <w:r w:rsidR="005C6EA6" w:rsidRPr="3732FC5A">
        <w:rPr>
          <w:b/>
          <w:bCs/>
        </w:rPr>
        <w:t xml:space="preserve">study Rutter (2007) and Chugani </w:t>
      </w:r>
      <w:r w:rsidR="00FA2E4B" w:rsidRPr="3732FC5A">
        <w:rPr>
          <w:b/>
          <w:bCs/>
        </w:rPr>
        <w:t xml:space="preserve">et al </w:t>
      </w:r>
      <w:r w:rsidR="005C6EA6" w:rsidRPr="3732FC5A">
        <w:rPr>
          <w:b/>
          <w:bCs/>
        </w:rPr>
        <w:t>(2001)</w:t>
      </w:r>
    </w:p>
    <w:p w14:paraId="75B42464" w14:textId="4E497B5C" w:rsidR="00FA2E4B" w:rsidRDefault="11D456F1" w:rsidP="00B418B3">
      <w:pPr>
        <w:pStyle w:val="ListParagraph"/>
        <w:numPr>
          <w:ilvl w:val="0"/>
          <w:numId w:val="12"/>
        </w:numPr>
        <w:spacing w:after="100" w:afterAutospacing="1"/>
      </w:pPr>
      <w:r>
        <w:t xml:space="preserve">Describe and Evaluate </w:t>
      </w:r>
      <w:r w:rsidR="00FA2E4B">
        <w:t>Hodges &amp; Tizard (1989)</w:t>
      </w:r>
      <w:r w:rsidR="005C6EA6">
        <w:t xml:space="preserve"> – Institutionalisation: London </w:t>
      </w:r>
    </w:p>
    <w:p w14:paraId="1AE50AB1" w14:textId="782C3B13" w:rsidR="00FA2E4B" w:rsidRDefault="7B4C3797" w:rsidP="00B418B3">
      <w:pPr>
        <w:pStyle w:val="ListParagraph"/>
        <w:numPr>
          <w:ilvl w:val="0"/>
          <w:numId w:val="12"/>
        </w:numPr>
        <w:spacing w:after="100" w:afterAutospacing="1"/>
      </w:pPr>
      <w:r>
        <w:t xml:space="preserve">Describe </w:t>
      </w:r>
      <w:r w:rsidR="3732FC5A">
        <w:t>e</w:t>
      </w:r>
      <w:r w:rsidR="00FA2E4B">
        <w:t xml:space="preserve">ffects of institutionalisation including: reactive detachment disorder, disinhibited attachment and mental retardation </w:t>
      </w:r>
    </w:p>
    <w:p w14:paraId="6C44BE33" w14:textId="2D99DAC6" w:rsidR="00692B5E" w:rsidRDefault="778EF425" w:rsidP="00B418B3">
      <w:pPr>
        <w:pStyle w:val="ListParagraph"/>
        <w:numPr>
          <w:ilvl w:val="0"/>
          <w:numId w:val="12"/>
        </w:numPr>
        <w:spacing w:after="100" w:afterAutospacing="1"/>
        <w:contextualSpacing w:val="0"/>
      </w:pPr>
      <w:r>
        <w:t>Describe and Evaluate e</w:t>
      </w:r>
      <w:r w:rsidR="005C6EA6">
        <w:t xml:space="preserve">arly attachments and adult relationships: Hazan &amp; Shaver (1987) The Love Quiz – IWM </w:t>
      </w:r>
    </w:p>
    <w:p w14:paraId="454A478F" w14:textId="0FB9BD43" w:rsidR="005C6EA6" w:rsidRDefault="3C66887B" w:rsidP="00B418B3">
      <w:pPr>
        <w:pStyle w:val="ListParagraph"/>
        <w:numPr>
          <w:ilvl w:val="0"/>
          <w:numId w:val="12"/>
        </w:numPr>
        <w:spacing w:after="100" w:afterAutospacing="1"/>
        <w:contextualSpacing w:val="0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5C6EA6">
        <w:t xml:space="preserve">Myron-Wilson &amp; Smith (1998) – Bullying </w:t>
      </w:r>
    </w:p>
    <w:p w14:paraId="587C67BD" w14:textId="7998E06D" w:rsidR="005C6EA6" w:rsidRDefault="28A548E7" w:rsidP="00B418B3">
      <w:pPr>
        <w:pStyle w:val="ListParagraph"/>
        <w:numPr>
          <w:ilvl w:val="0"/>
          <w:numId w:val="12"/>
        </w:numPr>
        <w:spacing w:after="100" w:afterAutospacing="1"/>
        <w:contextualSpacing w:val="0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Outline and Evaluate</w:t>
      </w:r>
      <w:r>
        <w:t xml:space="preserve"> </w:t>
      </w:r>
      <w:r w:rsidR="005C6EA6">
        <w:t xml:space="preserve">Bailey et al (2007) generational parenting styles &amp; attachment </w:t>
      </w:r>
    </w:p>
    <w:p w14:paraId="4215BEF9" w14:textId="3E6A319B" w:rsidR="005C6EA6" w:rsidRPr="005C6EA6" w:rsidRDefault="00B418B3" w:rsidP="00B418B3">
      <w:pPr>
        <w:spacing w:after="0"/>
        <w:rPr>
          <w:b/>
        </w:rPr>
      </w:pPr>
      <w:r>
        <w:rPr>
          <w:b/>
        </w:rPr>
        <w:t>Psychopathology:</w:t>
      </w:r>
    </w:p>
    <w:p w14:paraId="27816AD1" w14:textId="40F6BD87" w:rsidR="00121E21" w:rsidRDefault="4BBCC17A" w:rsidP="00B418B3">
      <w:pPr>
        <w:pStyle w:val="ListParagraph"/>
        <w:numPr>
          <w:ilvl w:val="0"/>
          <w:numId w:val="14"/>
        </w:numPr>
        <w:spacing w:after="0"/>
      </w:pPr>
      <w:r>
        <w:t>Describe and Evaluate d</w:t>
      </w:r>
      <w:r w:rsidR="00121E21">
        <w:t>efinitions of abnormality: Statistical infrequency</w:t>
      </w:r>
    </w:p>
    <w:p w14:paraId="3FD8BCE6" w14:textId="70B80151" w:rsidR="00121E21" w:rsidRDefault="54141FCD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>
        <w:t xml:space="preserve">Describe and Evaluate definitions of abnormality: </w:t>
      </w:r>
      <w:r w:rsidR="00121E21">
        <w:t xml:space="preserve">Rosenhan &amp; Seligman: Failure to function adequately (MOULD) – GAF </w:t>
      </w:r>
    </w:p>
    <w:p w14:paraId="7C01D0C9" w14:textId="6F630DF1" w:rsidR="00121E21" w:rsidRDefault="028297CA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>
        <w:t xml:space="preserve">Describe and Evaluate definitions of abnormality: </w:t>
      </w:r>
      <w:r w:rsidR="00121E21">
        <w:t>Deviance from social norms</w:t>
      </w:r>
    </w:p>
    <w:p w14:paraId="09281933" w14:textId="1BACF945" w:rsidR="00121E21" w:rsidRDefault="5AB396ED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>
        <w:lastRenderedPageBreak/>
        <w:t xml:space="preserve">Describe and Evaluate definitions of abnormality: </w:t>
      </w:r>
      <w:r w:rsidR="00121E21">
        <w:t>Jahoda (1958) Deviation from ideal mental health (PRAISE)</w:t>
      </w:r>
    </w:p>
    <w:p w14:paraId="58FD68D8" w14:textId="13E84019" w:rsidR="00121E21" w:rsidRDefault="2048556D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Describe </w:t>
      </w:r>
      <w:r w:rsidR="00121E21">
        <w:t xml:space="preserve">the emotional, behavioural and cognitive symptoms of depression – IM A MESS </w:t>
      </w:r>
    </w:p>
    <w:p w14:paraId="5B67F4A8" w14:textId="791D833B" w:rsidR="00121E21" w:rsidRDefault="653C2181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</w:t>
      </w:r>
      <w:r w:rsidR="00121E21">
        <w:t xml:space="preserve"> the emotional, behavioural and cognitive symptoms of a phobia – HE PANICS</w:t>
      </w:r>
    </w:p>
    <w:p w14:paraId="7019716F" w14:textId="3323D139" w:rsidR="00121E21" w:rsidRDefault="3224D2D4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</w:t>
      </w:r>
      <w:r>
        <w:t xml:space="preserve"> </w:t>
      </w:r>
      <w:r w:rsidR="00121E21">
        <w:t xml:space="preserve">the difference between a specific phobia, social phobia and agoraphobia </w:t>
      </w:r>
    </w:p>
    <w:p w14:paraId="56D0B3D2" w14:textId="639F0494" w:rsidR="00121E21" w:rsidRDefault="508C84F0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</w:t>
      </w:r>
      <w:r>
        <w:t xml:space="preserve"> </w:t>
      </w:r>
      <w:r w:rsidR="00121E21">
        <w:t>the emotional, behavioural and cognitive symptoms of OCD (CHAOTIC)</w:t>
      </w:r>
    </w:p>
    <w:p w14:paraId="02AC4F90" w14:textId="61D9F795" w:rsidR="00121E21" w:rsidRDefault="158B3EA9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</w:t>
      </w:r>
      <w:r>
        <w:t xml:space="preserve"> and Evaluate the </w:t>
      </w:r>
      <w:r w:rsidR="0073649B">
        <w:t xml:space="preserve">Behaviourist explanation for phobias: Mowrer’s two factor approach i.e. the combination of classical conditioning, followed by a reinforcement of the phobia through operant conditioning </w:t>
      </w:r>
    </w:p>
    <w:p w14:paraId="3371EFEE" w14:textId="49289A53" w:rsidR="0073649B" w:rsidRDefault="79279572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</w:t>
      </w:r>
      <w:r>
        <w:t xml:space="preserve"> and Evaluate </w:t>
      </w:r>
      <w:r w:rsidR="0073649B">
        <w:t xml:space="preserve">Behaviourist treatments for phobias: Joseph Wolpe’s systematic desensitisation – relaxation, fear hierarchy &amp; exposure </w:t>
      </w:r>
    </w:p>
    <w:p w14:paraId="644BEFD3" w14:textId="13BD270D" w:rsidR="0073649B" w:rsidRDefault="6CC42649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Outline </w:t>
      </w:r>
      <w:r w:rsidR="0073649B">
        <w:t>McGrath et al (1990) &amp; Gilroy et al (2002) effectiveness of SD</w:t>
      </w:r>
    </w:p>
    <w:p w14:paraId="4F9497DD" w14:textId="1F8D0D39" w:rsidR="0073649B" w:rsidRDefault="7B3A7F98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Describe and Evaluate </w:t>
      </w:r>
      <w:r w:rsidR="0073649B">
        <w:t xml:space="preserve">Flooding AKA exposure therapy </w:t>
      </w:r>
    </w:p>
    <w:p w14:paraId="43A5C7A2" w14:textId="7F94BD50" w:rsidR="0073649B" w:rsidRDefault="515B5D4A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b/>
          <w:bCs/>
          <w:color w:val="000000" w:themeColor="text1"/>
        </w:rPr>
        <w:t>Describe and Evaluate</w:t>
      </w:r>
      <w:r w:rsidRPr="3732FC5A">
        <w:rPr>
          <w:b/>
          <w:bCs/>
        </w:rPr>
        <w:t xml:space="preserve"> the </w:t>
      </w:r>
      <w:r w:rsidR="0073649B" w:rsidRPr="3732FC5A">
        <w:rPr>
          <w:b/>
          <w:bCs/>
        </w:rPr>
        <w:t>Cognitive explanation of dep</w:t>
      </w:r>
      <w:r w:rsidR="0063277B" w:rsidRPr="3732FC5A">
        <w:rPr>
          <w:b/>
          <w:bCs/>
        </w:rPr>
        <w:t xml:space="preserve">ression: Beck’s cognitive triad, negative schemas, magnification or minimization </w:t>
      </w:r>
    </w:p>
    <w:p w14:paraId="7E22FCBE" w14:textId="5BBDB54B" w:rsidR="0063277B" w:rsidRDefault="5A42EE6C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b/>
          <w:bCs/>
          <w:color w:val="000000" w:themeColor="text1"/>
        </w:rPr>
        <w:t>Describe and Evaluate</w:t>
      </w:r>
      <w:r w:rsidRPr="3732FC5A">
        <w:rPr>
          <w:b/>
          <w:bCs/>
        </w:rPr>
        <w:t xml:space="preserve"> the Cognitive explanation of depression: </w:t>
      </w:r>
      <w:r w:rsidR="0063277B" w:rsidRPr="3732FC5A">
        <w:rPr>
          <w:b/>
          <w:bCs/>
        </w:rPr>
        <w:t xml:space="preserve">Ellis’ ABC model </w:t>
      </w:r>
    </w:p>
    <w:p w14:paraId="15F7C81B" w14:textId="4FAAB430" w:rsidR="0063277B" w:rsidRDefault="361C9FFA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b/>
          <w:bCs/>
          <w:color w:val="000000" w:themeColor="text1"/>
        </w:rPr>
        <w:t>Describe and Evaluate</w:t>
      </w:r>
      <w:r w:rsidRPr="3732FC5A">
        <w:rPr>
          <w:b/>
          <w:bCs/>
        </w:rPr>
        <w:t xml:space="preserve"> the </w:t>
      </w:r>
      <w:r w:rsidR="0063277B" w:rsidRPr="3732FC5A">
        <w:rPr>
          <w:b/>
          <w:bCs/>
        </w:rPr>
        <w:t xml:space="preserve">Cognitive treatments for depression: Becks Cognitive Behavioural Therapy (1989) Identify, educate &amp; homework </w:t>
      </w:r>
    </w:p>
    <w:p w14:paraId="785D0BF2" w14:textId="3DF1843A" w:rsidR="0063277B" w:rsidRDefault="29FDF1B5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b/>
          <w:bCs/>
          <w:color w:val="000000" w:themeColor="text1"/>
        </w:rPr>
        <w:t>Describe and Evaluate</w:t>
      </w:r>
      <w:r w:rsidRPr="3732FC5A">
        <w:rPr>
          <w:b/>
          <w:bCs/>
        </w:rPr>
        <w:t xml:space="preserve"> the Cognitive treatments of depression: </w:t>
      </w:r>
      <w:r w:rsidR="0063277B" w:rsidRPr="3732FC5A">
        <w:rPr>
          <w:b/>
          <w:bCs/>
        </w:rPr>
        <w:t>Ellis’ Rational Emotive Behaviour Therapy (REBT) – identify, educate through logical, empirical and pragmatic disputing &amp; homework</w:t>
      </w:r>
    </w:p>
    <w:p w14:paraId="54B6F547" w14:textId="2E142E73" w:rsidR="0063277B" w:rsidRDefault="118701A0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Outline </w:t>
      </w:r>
      <w:r w:rsidR="0063277B">
        <w:t xml:space="preserve">David et al (2008) effectiveness of REBT </w:t>
      </w:r>
    </w:p>
    <w:p w14:paraId="47751A11" w14:textId="27CA25EA" w:rsidR="0063277B" w:rsidRDefault="38615DDE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Outline </w:t>
      </w:r>
      <w:r w:rsidR="0063277B">
        <w:t xml:space="preserve">Whitfield &amp; Williams (2003) practical limitations of CBT </w:t>
      </w:r>
    </w:p>
    <w:p w14:paraId="7132046B" w14:textId="6EC65143" w:rsidR="0063277B" w:rsidRDefault="145C2EFC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Describe and Evaluate </w:t>
      </w:r>
      <w:r w:rsidR="00524A9A">
        <w:t xml:space="preserve">Biological explanations of OCD: Genetic </w:t>
      </w:r>
    </w:p>
    <w:p w14:paraId="4B0D6A15" w14:textId="33106227" w:rsidR="00524A9A" w:rsidRDefault="1FA0EDB1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Outline and Evaluate </w:t>
      </w:r>
      <w:r w:rsidR="00524A9A">
        <w:t>Lewis (1936) – families with OCD</w:t>
      </w:r>
    </w:p>
    <w:p w14:paraId="106FA030" w14:textId="0632C9BC" w:rsidR="00524A9A" w:rsidRDefault="234E87DB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>
        <w:t xml:space="preserve">Outline and Evaluate </w:t>
      </w:r>
      <w:r w:rsidR="00524A9A">
        <w:t>Nestadt et al (2010) twins and OCD</w:t>
      </w:r>
    </w:p>
    <w:p w14:paraId="18A0649B" w14:textId="03842266" w:rsidR="00524A9A" w:rsidRDefault="5663ED5F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>
        <w:t xml:space="preserve">Describe and Evaluate </w:t>
      </w:r>
      <w:r w:rsidR="00524A9A">
        <w:t xml:space="preserve">Diathesis stress model </w:t>
      </w:r>
    </w:p>
    <w:p w14:paraId="0FDFCD75" w14:textId="20AAAE29" w:rsidR="00524A9A" w:rsidRDefault="1CC55ED2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Describe and Evaluate </w:t>
      </w:r>
      <w:r w:rsidR="00524A9A">
        <w:t xml:space="preserve">Candidate genes: SERT gene &amp; COMT gene, polygenic </w:t>
      </w:r>
    </w:p>
    <w:p w14:paraId="2661EAE8" w14:textId="34292BBD" w:rsidR="00524A9A" w:rsidRDefault="5DC4F606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Describe and Evaluate </w:t>
      </w:r>
      <w:r w:rsidR="00524A9A">
        <w:t xml:space="preserve">Neural explanations of OCD </w:t>
      </w:r>
    </w:p>
    <w:p w14:paraId="39700F63" w14:textId="4BB080AB" w:rsidR="00524A9A" w:rsidRDefault="5E5CB3E6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Describe </w:t>
      </w:r>
      <w:r w:rsidR="00524A9A">
        <w:t xml:space="preserve">how neurons transmit messages to each other </w:t>
      </w:r>
    </w:p>
    <w:p w14:paraId="32F3C888" w14:textId="578BE481" w:rsidR="00524A9A" w:rsidRDefault="39CF11E8" w:rsidP="00B418B3">
      <w:pPr>
        <w:pStyle w:val="ListParagraph"/>
        <w:numPr>
          <w:ilvl w:val="0"/>
          <w:numId w:val="14"/>
        </w:numPr>
        <w:spacing w:after="100" w:afterAutospacing="1"/>
      </w:pPr>
      <w:r>
        <w:t>Describe and Evaluate t</w:t>
      </w:r>
      <w:r w:rsidR="00524A9A">
        <w:t xml:space="preserve">he role of serotonin and dopamine in explaining OCD </w:t>
      </w:r>
    </w:p>
    <w:p w14:paraId="7AD9CE4A" w14:textId="6815D4D4" w:rsidR="00524A9A" w:rsidRDefault="22F941F0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 and Evaluate</w:t>
      </w:r>
      <w:r>
        <w:t xml:space="preserve"> </w:t>
      </w:r>
      <w:r w:rsidR="00524A9A">
        <w:t>The worry circuit: orbit frontal cortex, thalamus, caudate nucleus</w:t>
      </w:r>
    </w:p>
    <w:p w14:paraId="7E51301F" w14:textId="299BF2FE" w:rsidR="00524A9A" w:rsidRDefault="26393639" w:rsidP="00B418B3">
      <w:pPr>
        <w:pStyle w:val="ListParagraph"/>
        <w:numPr>
          <w:ilvl w:val="0"/>
          <w:numId w:val="14"/>
        </w:numPr>
        <w:spacing w:after="100" w:afterAutospacing="1"/>
        <w:rPr>
          <w:rFonts w:eastAsiaTheme="minorEastAsia"/>
        </w:rPr>
      </w:pPr>
      <w:r w:rsidRPr="3732FC5A">
        <w:rPr>
          <w:rFonts w:ascii="Calibri" w:eastAsia="Calibri" w:hAnsi="Calibri" w:cs="Calibri"/>
          <w:color w:val="000000" w:themeColor="text1"/>
        </w:rPr>
        <w:t>Describe and Evaluate</w:t>
      </w:r>
      <w:r>
        <w:t xml:space="preserve"> the </w:t>
      </w:r>
      <w:r w:rsidR="00524A9A">
        <w:t xml:space="preserve">Impairment of lateral frontal lobes and parahippocampal gyrus and how it explains OCD </w:t>
      </w:r>
    </w:p>
    <w:p w14:paraId="52BB8D55" w14:textId="7E4E77EF" w:rsidR="00524A9A" w:rsidRDefault="00524A9A" w:rsidP="00B418B3">
      <w:pPr>
        <w:pStyle w:val="ListParagraph"/>
        <w:numPr>
          <w:ilvl w:val="0"/>
          <w:numId w:val="14"/>
        </w:numPr>
        <w:spacing w:after="100" w:afterAutospacing="1"/>
      </w:pPr>
      <w:r>
        <w:t>Biological treatments for OCD: how SSRI’s and SNRI’s reduce symptoms of OCD</w:t>
      </w:r>
    </w:p>
    <w:p w14:paraId="235C0CC7" w14:textId="4EE8B9A7" w:rsidR="00524A9A" w:rsidRDefault="4FFE8A60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Outline </w:t>
      </w:r>
      <w:r w:rsidR="00524A9A">
        <w:t xml:space="preserve">Maria et al (2001) – symptoms </w:t>
      </w:r>
      <w:r w:rsidR="00F93472">
        <w:t xml:space="preserve">of OCD return when medication stops </w:t>
      </w:r>
    </w:p>
    <w:p w14:paraId="6F4DD567" w14:textId="723F3F55" w:rsidR="00F93472" w:rsidRDefault="1D5B6A98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Outline </w:t>
      </w:r>
      <w:r w:rsidR="00F93472">
        <w:t xml:space="preserve">Cromer et al (2007) behaviourist explanations </w:t>
      </w:r>
    </w:p>
    <w:p w14:paraId="1E498941" w14:textId="3D078E52" w:rsidR="00F93472" w:rsidRPr="005C6EA6" w:rsidRDefault="4F5085FD" w:rsidP="00B418B3">
      <w:pPr>
        <w:pStyle w:val="ListParagraph"/>
        <w:numPr>
          <w:ilvl w:val="0"/>
          <w:numId w:val="14"/>
        </w:numPr>
        <w:spacing w:after="100" w:afterAutospacing="1"/>
      </w:pPr>
      <w:r>
        <w:t xml:space="preserve">Outline </w:t>
      </w:r>
      <w:r w:rsidR="00F93472">
        <w:t xml:space="preserve">Soomro et al (2009) effectiveness of drug treatments </w:t>
      </w:r>
    </w:p>
    <w:p w14:paraId="693905AD" w14:textId="77777777" w:rsidR="005C6EA6" w:rsidRDefault="005C6EA6" w:rsidP="00B418B3">
      <w:pPr>
        <w:spacing w:after="100" w:afterAutospacing="1"/>
      </w:pPr>
    </w:p>
    <w:sectPr w:rsidR="005C6EA6" w:rsidSect="007C0D99">
      <w:type w:val="continuous"/>
      <w:pgSz w:w="16838" w:h="11906" w:orient="landscape"/>
      <w:pgMar w:top="1745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44BE36" w14:textId="77777777" w:rsidR="00524A9A" w:rsidRDefault="00524A9A" w:rsidP="001E5C1B">
      <w:pPr>
        <w:spacing w:after="0" w:line="240" w:lineRule="auto"/>
      </w:pPr>
      <w:r>
        <w:separator/>
      </w:r>
    </w:p>
  </w:endnote>
  <w:endnote w:type="continuationSeparator" w:id="0">
    <w:p w14:paraId="6C44BE37" w14:textId="77777777" w:rsidR="00524A9A" w:rsidRDefault="00524A9A" w:rsidP="001E5C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3"/>
      <w:gridCol w:w="4653"/>
      <w:gridCol w:w="4653"/>
    </w:tblGrid>
    <w:tr w:rsidR="125C4205" w14:paraId="0969B715" w14:textId="77777777" w:rsidTr="125C4205">
      <w:tc>
        <w:tcPr>
          <w:tcW w:w="4653" w:type="dxa"/>
        </w:tcPr>
        <w:p w14:paraId="412CD515" w14:textId="33F2FB0E" w:rsidR="125C4205" w:rsidRDefault="125C4205" w:rsidP="125C4205">
          <w:pPr>
            <w:pStyle w:val="Header"/>
            <w:ind w:left="-115"/>
          </w:pPr>
        </w:p>
      </w:tc>
      <w:tc>
        <w:tcPr>
          <w:tcW w:w="4653" w:type="dxa"/>
        </w:tcPr>
        <w:p w14:paraId="56E480B2" w14:textId="06EC8DB4" w:rsidR="125C4205" w:rsidRDefault="125C4205" w:rsidP="125C4205">
          <w:pPr>
            <w:pStyle w:val="Header"/>
            <w:jc w:val="center"/>
          </w:pPr>
        </w:p>
      </w:tc>
      <w:tc>
        <w:tcPr>
          <w:tcW w:w="4653" w:type="dxa"/>
        </w:tcPr>
        <w:p w14:paraId="74EFC34C" w14:textId="58F964A9" w:rsidR="125C4205" w:rsidRDefault="125C4205" w:rsidP="125C4205">
          <w:pPr>
            <w:pStyle w:val="Header"/>
            <w:ind w:right="-115"/>
            <w:jc w:val="right"/>
          </w:pPr>
        </w:p>
      </w:tc>
    </w:tr>
  </w:tbl>
  <w:p w14:paraId="2E1EFA0F" w14:textId="2AE3CE97" w:rsidR="125C4205" w:rsidRDefault="125C4205" w:rsidP="125C42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44BE34" w14:textId="77777777" w:rsidR="00524A9A" w:rsidRDefault="00524A9A" w:rsidP="001E5C1B">
      <w:pPr>
        <w:spacing w:after="0" w:line="240" w:lineRule="auto"/>
      </w:pPr>
      <w:r>
        <w:separator/>
      </w:r>
    </w:p>
  </w:footnote>
  <w:footnote w:type="continuationSeparator" w:id="0">
    <w:p w14:paraId="6C44BE35" w14:textId="77777777" w:rsidR="00524A9A" w:rsidRDefault="00524A9A" w:rsidP="001E5C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44BE38" w14:textId="258E5842" w:rsidR="00524A9A" w:rsidRPr="00692B5E" w:rsidRDefault="00524A9A" w:rsidP="001E5C1B">
    <w:pPr>
      <w:pStyle w:val="Title"/>
      <w:rPr>
        <w:rFonts w:ascii="Cambria" w:hAnsi="Cambria"/>
        <w:sz w:val="48"/>
      </w:rPr>
    </w:pPr>
    <w:r w:rsidRPr="00692B5E">
      <w:rPr>
        <w:rFonts w:ascii="Cambria" w:hAnsi="Cambria"/>
        <w:sz w:val="48"/>
      </w:rPr>
      <w:t xml:space="preserve">  Paper 1: Memory, Attachment, Psychopathology &amp; Social Influence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C32A6"/>
    <w:multiLevelType w:val="hybridMultilevel"/>
    <w:tmpl w:val="0CA6B9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B1948"/>
    <w:multiLevelType w:val="hybridMultilevel"/>
    <w:tmpl w:val="22EE7C8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61834"/>
    <w:multiLevelType w:val="hybridMultilevel"/>
    <w:tmpl w:val="7314420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41E0D"/>
    <w:multiLevelType w:val="hybridMultilevel"/>
    <w:tmpl w:val="1888864E"/>
    <w:lvl w:ilvl="0" w:tplc="EBD884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12631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0A2AF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C8B1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3888B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52D7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33C62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3CC79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FF49A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4644E0"/>
    <w:multiLevelType w:val="hybridMultilevel"/>
    <w:tmpl w:val="FAB8ED6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148F3"/>
    <w:multiLevelType w:val="hybridMultilevel"/>
    <w:tmpl w:val="9968917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CD3851"/>
    <w:multiLevelType w:val="hybridMultilevel"/>
    <w:tmpl w:val="BFA0193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D0133B"/>
    <w:multiLevelType w:val="hybridMultilevel"/>
    <w:tmpl w:val="812846C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7B1A75"/>
    <w:multiLevelType w:val="hybridMultilevel"/>
    <w:tmpl w:val="2444873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316253"/>
    <w:multiLevelType w:val="hybridMultilevel"/>
    <w:tmpl w:val="9428297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F36854"/>
    <w:multiLevelType w:val="hybridMultilevel"/>
    <w:tmpl w:val="9C166F2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E90A89"/>
    <w:multiLevelType w:val="hybridMultilevel"/>
    <w:tmpl w:val="A272654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9F4283"/>
    <w:multiLevelType w:val="hybridMultilevel"/>
    <w:tmpl w:val="6B6CAF6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1C2B8A"/>
    <w:multiLevelType w:val="hybridMultilevel"/>
    <w:tmpl w:val="E0A8520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7"/>
  </w:num>
  <w:num w:numId="4">
    <w:abstractNumId w:val="9"/>
  </w:num>
  <w:num w:numId="5">
    <w:abstractNumId w:val="6"/>
  </w:num>
  <w:num w:numId="6">
    <w:abstractNumId w:val="0"/>
  </w:num>
  <w:num w:numId="7">
    <w:abstractNumId w:val="8"/>
  </w:num>
  <w:num w:numId="8">
    <w:abstractNumId w:val="12"/>
  </w:num>
  <w:num w:numId="9">
    <w:abstractNumId w:val="11"/>
  </w:num>
  <w:num w:numId="10">
    <w:abstractNumId w:val="5"/>
  </w:num>
  <w:num w:numId="11">
    <w:abstractNumId w:val="4"/>
  </w:num>
  <w:num w:numId="12">
    <w:abstractNumId w:val="1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C1B"/>
    <w:rsid w:val="000C68E8"/>
    <w:rsid w:val="000D0105"/>
    <w:rsid w:val="00121E21"/>
    <w:rsid w:val="00187821"/>
    <w:rsid w:val="001A459A"/>
    <w:rsid w:val="001E5C1B"/>
    <w:rsid w:val="002566D8"/>
    <w:rsid w:val="00274EFD"/>
    <w:rsid w:val="003E68F9"/>
    <w:rsid w:val="00464848"/>
    <w:rsid w:val="004B0F4B"/>
    <w:rsid w:val="004C2023"/>
    <w:rsid w:val="004D05D3"/>
    <w:rsid w:val="00524A9A"/>
    <w:rsid w:val="005C4D11"/>
    <w:rsid w:val="005C6EA6"/>
    <w:rsid w:val="0063277B"/>
    <w:rsid w:val="00692B5E"/>
    <w:rsid w:val="006A4090"/>
    <w:rsid w:val="006A5C4D"/>
    <w:rsid w:val="006B7B0F"/>
    <w:rsid w:val="006D173D"/>
    <w:rsid w:val="0073649B"/>
    <w:rsid w:val="007C0D99"/>
    <w:rsid w:val="007C6581"/>
    <w:rsid w:val="00825935"/>
    <w:rsid w:val="00893C25"/>
    <w:rsid w:val="009577D7"/>
    <w:rsid w:val="009E7BF7"/>
    <w:rsid w:val="00AA50B5"/>
    <w:rsid w:val="00B023DA"/>
    <w:rsid w:val="00B418B3"/>
    <w:rsid w:val="00B4354E"/>
    <w:rsid w:val="00C22CE2"/>
    <w:rsid w:val="00C85FD5"/>
    <w:rsid w:val="00E250B8"/>
    <w:rsid w:val="00E41C2C"/>
    <w:rsid w:val="00E94631"/>
    <w:rsid w:val="00EE5451"/>
    <w:rsid w:val="00F5780E"/>
    <w:rsid w:val="00F7739B"/>
    <w:rsid w:val="00F93472"/>
    <w:rsid w:val="00FA2E4B"/>
    <w:rsid w:val="0128E416"/>
    <w:rsid w:val="017E306E"/>
    <w:rsid w:val="019DA643"/>
    <w:rsid w:val="01EDB357"/>
    <w:rsid w:val="028297CA"/>
    <w:rsid w:val="02DD6CB3"/>
    <w:rsid w:val="0418216A"/>
    <w:rsid w:val="04C5B0B1"/>
    <w:rsid w:val="04C87897"/>
    <w:rsid w:val="05073340"/>
    <w:rsid w:val="05C52D96"/>
    <w:rsid w:val="065DB5A7"/>
    <w:rsid w:val="06996E46"/>
    <w:rsid w:val="06A389EC"/>
    <w:rsid w:val="06DD1B1A"/>
    <w:rsid w:val="086DBADE"/>
    <w:rsid w:val="0887BD88"/>
    <w:rsid w:val="094034F7"/>
    <w:rsid w:val="0C1E0231"/>
    <w:rsid w:val="0CCBF3EF"/>
    <w:rsid w:val="0D4D3AD4"/>
    <w:rsid w:val="0D7A4EFB"/>
    <w:rsid w:val="0DD8A54F"/>
    <w:rsid w:val="0EFC40BB"/>
    <w:rsid w:val="0F1EDB1F"/>
    <w:rsid w:val="0F26D3EA"/>
    <w:rsid w:val="0F5DC40B"/>
    <w:rsid w:val="0F78922C"/>
    <w:rsid w:val="0FC63CA1"/>
    <w:rsid w:val="0FD80CD7"/>
    <w:rsid w:val="1038F0A2"/>
    <w:rsid w:val="10B098BA"/>
    <w:rsid w:val="118701A0"/>
    <w:rsid w:val="11D456F1"/>
    <w:rsid w:val="122EA9D6"/>
    <w:rsid w:val="12486D91"/>
    <w:rsid w:val="125C4205"/>
    <w:rsid w:val="125F3C14"/>
    <w:rsid w:val="128B9BBC"/>
    <w:rsid w:val="12933818"/>
    <w:rsid w:val="13A7FABD"/>
    <w:rsid w:val="13D4EE76"/>
    <w:rsid w:val="13F1D560"/>
    <w:rsid w:val="13F80EB9"/>
    <w:rsid w:val="1405401B"/>
    <w:rsid w:val="142A3F09"/>
    <w:rsid w:val="145C2EFC"/>
    <w:rsid w:val="146F2C06"/>
    <w:rsid w:val="14D5502F"/>
    <w:rsid w:val="154D6400"/>
    <w:rsid w:val="158B3EA9"/>
    <w:rsid w:val="16D3224A"/>
    <w:rsid w:val="18284682"/>
    <w:rsid w:val="18AD1A42"/>
    <w:rsid w:val="18DCFE7F"/>
    <w:rsid w:val="199B5D33"/>
    <w:rsid w:val="19D98C6E"/>
    <w:rsid w:val="1A89F4F3"/>
    <w:rsid w:val="1AFC7601"/>
    <w:rsid w:val="1B2D88B5"/>
    <w:rsid w:val="1B5D44FD"/>
    <w:rsid w:val="1B6486AF"/>
    <w:rsid w:val="1CC55ED2"/>
    <w:rsid w:val="1D1AD1EF"/>
    <w:rsid w:val="1D5B6A98"/>
    <w:rsid w:val="1D90B808"/>
    <w:rsid w:val="1DA1A945"/>
    <w:rsid w:val="1E5DE3FB"/>
    <w:rsid w:val="1E5FACB6"/>
    <w:rsid w:val="1EABFCCD"/>
    <w:rsid w:val="1F4B4639"/>
    <w:rsid w:val="1FA0EDB1"/>
    <w:rsid w:val="1FA81673"/>
    <w:rsid w:val="1FE14F47"/>
    <w:rsid w:val="1FFC51A8"/>
    <w:rsid w:val="2005E29B"/>
    <w:rsid w:val="2048556D"/>
    <w:rsid w:val="213F6F97"/>
    <w:rsid w:val="2232871B"/>
    <w:rsid w:val="22F941F0"/>
    <w:rsid w:val="234E87DB"/>
    <w:rsid w:val="2449F82F"/>
    <w:rsid w:val="24910ED6"/>
    <w:rsid w:val="25007C7B"/>
    <w:rsid w:val="25182A7D"/>
    <w:rsid w:val="25ADA3EB"/>
    <w:rsid w:val="26393639"/>
    <w:rsid w:val="26E741BB"/>
    <w:rsid w:val="271EB124"/>
    <w:rsid w:val="27750464"/>
    <w:rsid w:val="2876B168"/>
    <w:rsid w:val="28A548E7"/>
    <w:rsid w:val="28D31E76"/>
    <w:rsid w:val="28EC1871"/>
    <w:rsid w:val="291ECCB1"/>
    <w:rsid w:val="29622FA6"/>
    <w:rsid w:val="29E9B84F"/>
    <w:rsid w:val="29FDF1B5"/>
    <w:rsid w:val="29FF76E8"/>
    <w:rsid w:val="2AA04C70"/>
    <w:rsid w:val="2B0EFF98"/>
    <w:rsid w:val="2B6F9853"/>
    <w:rsid w:val="2C3AD628"/>
    <w:rsid w:val="2C4383C3"/>
    <w:rsid w:val="2D0A7351"/>
    <w:rsid w:val="2DD6DF50"/>
    <w:rsid w:val="2DF9E6CB"/>
    <w:rsid w:val="2EB62E4A"/>
    <w:rsid w:val="2F1FDADA"/>
    <w:rsid w:val="300D681E"/>
    <w:rsid w:val="305DD2EF"/>
    <w:rsid w:val="307A0491"/>
    <w:rsid w:val="3224D2D4"/>
    <w:rsid w:val="32AB25BC"/>
    <w:rsid w:val="33592D19"/>
    <w:rsid w:val="33CC6F8E"/>
    <w:rsid w:val="34830664"/>
    <w:rsid w:val="34B9B6D4"/>
    <w:rsid w:val="35D6C8B4"/>
    <w:rsid w:val="361C9FFA"/>
    <w:rsid w:val="36AFB472"/>
    <w:rsid w:val="36D0D1EC"/>
    <w:rsid w:val="3732FC5A"/>
    <w:rsid w:val="3762E655"/>
    <w:rsid w:val="383A5BA0"/>
    <w:rsid w:val="38615DDE"/>
    <w:rsid w:val="389C9237"/>
    <w:rsid w:val="38B1252F"/>
    <w:rsid w:val="38C6B9EB"/>
    <w:rsid w:val="39918939"/>
    <w:rsid w:val="39CF11E8"/>
    <w:rsid w:val="3A0AF9A6"/>
    <w:rsid w:val="3A76F7AF"/>
    <w:rsid w:val="3ABBDCD3"/>
    <w:rsid w:val="3AF719C2"/>
    <w:rsid w:val="3BA90B6A"/>
    <w:rsid w:val="3C030C47"/>
    <w:rsid w:val="3C17E6AD"/>
    <w:rsid w:val="3C66887B"/>
    <w:rsid w:val="3C76EE1D"/>
    <w:rsid w:val="3CD1BF98"/>
    <w:rsid w:val="3D0B0CBF"/>
    <w:rsid w:val="3D32117B"/>
    <w:rsid w:val="3D43EE0F"/>
    <w:rsid w:val="3D4CAE62"/>
    <w:rsid w:val="3DBCA64C"/>
    <w:rsid w:val="3E3211A9"/>
    <w:rsid w:val="3F0F2235"/>
    <w:rsid w:val="3F2F94F4"/>
    <w:rsid w:val="40C868B7"/>
    <w:rsid w:val="4106DA27"/>
    <w:rsid w:val="418ED3AB"/>
    <w:rsid w:val="41AC5463"/>
    <w:rsid w:val="41E0FC53"/>
    <w:rsid w:val="42088A8F"/>
    <w:rsid w:val="424E1F64"/>
    <w:rsid w:val="42B02B55"/>
    <w:rsid w:val="436DF3FF"/>
    <w:rsid w:val="43A46DBD"/>
    <w:rsid w:val="43CAC0E2"/>
    <w:rsid w:val="443D1DBB"/>
    <w:rsid w:val="44F58AC3"/>
    <w:rsid w:val="45859332"/>
    <w:rsid w:val="46147587"/>
    <w:rsid w:val="478668B5"/>
    <w:rsid w:val="47E6BAAF"/>
    <w:rsid w:val="4825958F"/>
    <w:rsid w:val="4870B777"/>
    <w:rsid w:val="48BD3DFB"/>
    <w:rsid w:val="48E431F9"/>
    <w:rsid w:val="49190A11"/>
    <w:rsid w:val="493A50A5"/>
    <w:rsid w:val="497F37BD"/>
    <w:rsid w:val="4A0B9100"/>
    <w:rsid w:val="4A76511E"/>
    <w:rsid w:val="4A8F155B"/>
    <w:rsid w:val="4A941501"/>
    <w:rsid w:val="4AF274A2"/>
    <w:rsid w:val="4B11BC62"/>
    <w:rsid w:val="4B78788B"/>
    <w:rsid w:val="4BBCC17A"/>
    <w:rsid w:val="4BCD67BE"/>
    <w:rsid w:val="4BDA5425"/>
    <w:rsid w:val="4C0FCF3A"/>
    <w:rsid w:val="4C8ABEC1"/>
    <w:rsid w:val="4CE1C820"/>
    <w:rsid w:val="4D609E9E"/>
    <w:rsid w:val="4D74F3B2"/>
    <w:rsid w:val="4DA202EF"/>
    <w:rsid w:val="4E5A6447"/>
    <w:rsid w:val="4F43B9C2"/>
    <w:rsid w:val="4F5085FD"/>
    <w:rsid w:val="4F63EAB8"/>
    <w:rsid w:val="4F7B7E50"/>
    <w:rsid w:val="4FD7DD29"/>
    <w:rsid w:val="4FFCA46E"/>
    <w:rsid w:val="4FFE8A60"/>
    <w:rsid w:val="508C84F0"/>
    <w:rsid w:val="508D42E4"/>
    <w:rsid w:val="50E43524"/>
    <w:rsid w:val="515B5D4A"/>
    <w:rsid w:val="52D6A9C4"/>
    <w:rsid w:val="53216B22"/>
    <w:rsid w:val="53A15D72"/>
    <w:rsid w:val="53AFC5CB"/>
    <w:rsid w:val="54141FCD"/>
    <w:rsid w:val="546BC875"/>
    <w:rsid w:val="561FF8BF"/>
    <w:rsid w:val="5643E2D6"/>
    <w:rsid w:val="5663ED5F"/>
    <w:rsid w:val="5664B73D"/>
    <w:rsid w:val="56F09179"/>
    <w:rsid w:val="570396E4"/>
    <w:rsid w:val="574BCD12"/>
    <w:rsid w:val="575BD7FC"/>
    <w:rsid w:val="5885B019"/>
    <w:rsid w:val="58A8E2B5"/>
    <w:rsid w:val="58B3D901"/>
    <w:rsid w:val="58DD2F98"/>
    <w:rsid w:val="58F6D91C"/>
    <w:rsid w:val="594ACB56"/>
    <w:rsid w:val="5960101E"/>
    <w:rsid w:val="59976C46"/>
    <w:rsid w:val="59C5B252"/>
    <w:rsid w:val="5A42EE6C"/>
    <w:rsid w:val="5A92F4C9"/>
    <w:rsid w:val="5AB396ED"/>
    <w:rsid w:val="5ABD3606"/>
    <w:rsid w:val="5AC3E0E0"/>
    <w:rsid w:val="5AC9295F"/>
    <w:rsid w:val="5D64CBB3"/>
    <w:rsid w:val="5DC4F606"/>
    <w:rsid w:val="5E422B3B"/>
    <w:rsid w:val="5E5CB3E6"/>
    <w:rsid w:val="5E962B7A"/>
    <w:rsid w:val="5F0DE2EA"/>
    <w:rsid w:val="5F3B04CB"/>
    <w:rsid w:val="5FB2D0A0"/>
    <w:rsid w:val="5FE44E3B"/>
    <w:rsid w:val="60313B68"/>
    <w:rsid w:val="607BA7DF"/>
    <w:rsid w:val="607DC63B"/>
    <w:rsid w:val="60EE4CEB"/>
    <w:rsid w:val="613BF17E"/>
    <w:rsid w:val="616A766D"/>
    <w:rsid w:val="61945525"/>
    <w:rsid w:val="61F7B656"/>
    <w:rsid w:val="61FA9AB5"/>
    <w:rsid w:val="62B94AF5"/>
    <w:rsid w:val="63BE3029"/>
    <w:rsid w:val="643C44CE"/>
    <w:rsid w:val="646F4417"/>
    <w:rsid w:val="64C3A565"/>
    <w:rsid w:val="653C2181"/>
    <w:rsid w:val="653C693C"/>
    <w:rsid w:val="6566F224"/>
    <w:rsid w:val="6648F43A"/>
    <w:rsid w:val="6650662B"/>
    <w:rsid w:val="669FD05C"/>
    <w:rsid w:val="66B8272B"/>
    <w:rsid w:val="66D1FA73"/>
    <w:rsid w:val="68C4D49A"/>
    <w:rsid w:val="692465DE"/>
    <w:rsid w:val="696E0299"/>
    <w:rsid w:val="69B9B3BC"/>
    <w:rsid w:val="69D55291"/>
    <w:rsid w:val="6A58565A"/>
    <w:rsid w:val="6B0DA41C"/>
    <w:rsid w:val="6C83364C"/>
    <w:rsid w:val="6CC42649"/>
    <w:rsid w:val="6CD38E72"/>
    <w:rsid w:val="6D4D1750"/>
    <w:rsid w:val="6DD33FCA"/>
    <w:rsid w:val="6ED8BA0C"/>
    <w:rsid w:val="6F428E9E"/>
    <w:rsid w:val="6FBA3659"/>
    <w:rsid w:val="701E55D1"/>
    <w:rsid w:val="70841A17"/>
    <w:rsid w:val="717ED368"/>
    <w:rsid w:val="71C0C450"/>
    <w:rsid w:val="71E98117"/>
    <w:rsid w:val="72191EF8"/>
    <w:rsid w:val="72F42A4A"/>
    <w:rsid w:val="733B0213"/>
    <w:rsid w:val="73E04B50"/>
    <w:rsid w:val="740F1243"/>
    <w:rsid w:val="74ABAC14"/>
    <w:rsid w:val="74D8FFD5"/>
    <w:rsid w:val="74FC1B87"/>
    <w:rsid w:val="759A2349"/>
    <w:rsid w:val="761E98C8"/>
    <w:rsid w:val="764D912E"/>
    <w:rsid w:val="771AE9E1"/>
    <w:rsid w:val="773E02FB"/>
    <w:rsid w:val="778B434F"/>
    <w:rsid w:val="778EF425"/>
    <w:rsid w:val="77B2381A"/>
    <w:rsid w:val="786AA7AA"/>
    <w:rsid w:val="786F4C6E"/>
    <w:rsid w:val="78FC636C"/>
    <w:rsid w:val="79279572"/>
    <w:rsid w:val="792981D8"/>
    <w:rsid w:val="795E97BB"/>
    <w:rsid w:val="798DE29B"/>
    <w:rsid w:val="7AA5FB02"/>
    <w:rsid w:val="7AF60ECD"/>
    <w:rsid w:val="7B3A7F98"/>
    <w:rsid w:val="7B4C3797"/>
    <w:rsid w:val="7B9EEF30"/>
    <w:rsid w:val="7C1BD4C5"/>
    <w:rsid w:val="7C233062"/>
    <w:rsid w:val="7C4D0279"/>
    <w:rsid w:val="7C838B8D"/>
    <w:rsid w:val="7C8D6C41"/>
    <w:rsid w:val="7E04607B"/>
    <w:rsid w:val="7F5F0E82"/>
    <w:rsid w:val="7FBDA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C44BDA3"/>
  <w15:docId w15:val="{584BFDCD-A5A4-4775-A60E-FBABE8C13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5C1B"/>
    <w:pPr>
      <w:spacing w:after="48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5C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5C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C1B"/>
  </w:style>
  <w:style w:type="paragraph" w:styleId="Footer">
    <w:name w:val="footer"/>
    <w:basedOn w:val="Normal"/>
    <w:link w:val="FooterChar"/>
    <w:uiPriority w:val="99"/>
    <w:unhideWhenUsed/>
    <w:rsid w:val="001E5C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C1B"/>
  </w:style>
  <w:style w:type="paragraph" w:styleId="Title">
    <w:name w:val="Title"/>
    <w:basedOn w:val="Normal"/>
    <w:next w:val="Normal"/>
    <w:link w:val="TitleChar"/>
    <w:uiPriority w:val="10"/>
    <w:qFormat/>
    <w:rsid w:val="001E5C1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5C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782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D88EDAA9CAC449027F5F632003400" ma:contentTypeVersion="12" ma:contentTypeDescription="Create a new document." ma:contentTypeScope="" ma:versionID="028d7250b38624fc00b750643a7e56d7">
  <xsd:schema xmlns:xsd="http://www.w3.org/2001/XMLSchema" xmlns:xs="http://www.w3.org/2001/XMLSchema" xmlns:p="http://schemas.microsoft.com/office/2006/metadata/properties" xmlns:ns2="7508876a-e757-4806-a426-fc7770a8d281" xmlns:ns3="f56eeeec-dec3-4320-90ff-a1e339aa9ddb" targetNamespace="http://schemas.microsoft.com/office/2006/metadata/properties" ma:root="true" ma:fieldsID="a7f4bfc77da21e58482a3c9b5c5d3260" ns2:_="" ns3:_="">
    <xsd:import namespace="7508876a-e757-4806-a426-fc7770a8d281"/>
    <xsd:import namespace="f56eeeec-dec3-4320-90ff-a1e339aa9d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08876a-e757-4806-a426-fc7770a8d2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6eeeec-dec3-4320-90ff-a1e339aa9dd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B9BFBA5-FA0C-4C50-A184-0C5A0AF793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08876a-e757-4806-a426-fc7770a8d281"/>
    <ds:schemaRef ds:uri="f56eeeec-dec3-4320-90ff-a1e339aa9d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DAC7791-76C4-4050-A661-45BCBC21EB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E0EB1A-46F4-48E2-8D32-66B1302E3E47}">
  <ds:schemaRefs>
    <ds:schemaRef ds:uri="http://schemas.microsoft.com/office/2006/metadata/properties"/>
    <ds:schemaRef ds:uri="http://schemas.microsoft.com/office/2006/documentManagement/types"/>
    <ds:schemaRef ds:uri="f56eeeec-dec3-4320-90ff-a1e339aa9ddb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7508876a-e757-4806-a426-fc7770a8d281"/>
    <ds:schemaRef ds:uri="http://purl.org/dc/elements/1.1/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9288746C</Template>
  <TotalTime>2</TotalTime>
  <Pages>5</Pages>
  <Words>1925</Words>
  <Characters>10975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Ousedale School</Company>
  <LinksUpToDate>false</LinksUpToDate>
  <CharactersWithSpaces>12875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Price, Alex</dc:creator>
  <cp:lastModifiedBy>Amie Harris</cp:lastModifiedBy>
  <cp:revision>3</cp:revision>
  <dcterms:created xsi:type="dcterms:W3CDTF">2020-06-30T14:30:00Z</dcterms:created>
  <dcterms:modified xsi:type="dcterms:W3CDTF">2020-06-30T14:59:00Z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0x010100751D88EDAA9CAC449027F5F632003400</vt:lpwstr>
  </property>
</Properties>
</file>